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72C4" w14:textId="77777777" w:rsidR="00FB01E4" w:rsidRPr="00E634DF" w:rsidRDefault="00FB01E4" w:rsidP="00FB01E4">
      <w:pPr>
        <w:rPr>
          <w:rFonts w:ascii="Arial" w:hAnsi="Arial" w:cs="Arial"/>
          <w:sz w:val="32"/>
          <w:szCs w:val="32"/>
        </w:rPr>
      </w:pPr>
      <w:r>
        <w:rPr>
          <w:rFonts w:ascii="Arial" w:hAnsi="Arial" w:cs="Arial"/>
          <w:sz w:val="32"/>
          <w:szCs w:val="32"/>
        </w:rPr>
        <w:t>Grants and Compliance Manager</w:t>
      </w:r>
    </w:p>
    <w:p w14:paraId="31B54D6B" w14:textId="67F0C92B" w:rsidR="00457335" w:rsidRPr="00837C7C" w:rsidRDefault="00457335">
      <w:pPr>
        <w:rPr>
          <w:rFonts w:ascii="Arial" w:hAnsi="Arial" w:cs="Arial"/>
          <w:i/>
          <w:iCs/>
        </w:rPr>
      </w:pPr>
    </w:p>
    <w:tbl>
      <w:tblPr>
        <w:tblStyle w:val="TableGrid"/>
        <w:tblW w:w="0" w:type="auto"/>
        <w:tblLook w:val="04A0" w:firstRow="1" w:lastRow="0" w:firstColumn="1" w:lastColumn="0" w:noHBand="0" w:noVBand="1"/>
      </w:tblPr>
      <w:tblGrid>
        <w:gridCol w:w="2581"/>
        <w:gridCol w:w="2581"/>
        <w:gridCol w:w="2581"/>
        <w:gridCol w:w="2581"/>
      </w:tblGrid>
      <w:tr w:rsidR="00090142" w14:paraId="2C421B3F" w14:textId="77777777" w:rsidTr="00C74D8A">
        <w:trPr>
          <w:trHeight w:val="262"/>
        </w:trPr>
        <w:tc>
          <w:tcPr>
            <w:tcW w:w="2581" w:type="dxa"/>
          </w:tcPr>
          <w:p w14:paraId="069AFC15" w14:textId="65C710CE" w:rsidR="00090142" w:rsidRDefault="00090142">
            <w:pPr>
              <w:rPr>
                <w:rFonts w:ascii="Arial" w:hAnsi="Arial" w:cs="Arial"/>
                <w:b/>
                <w:bCs/>
              </w:rPr>
            </w:pPr>
            <w:r>
              <w:rPr>
                <w:rFonts w:ascii="Arial" w:hAnsi="Arial" w:cs="Arial"/>
                <w:b/>
                <w:bCs/>
              </w:rPr>
              <w:t>Job Level</w:t>
            </w:r>
          </w:p>
        </w:tc>
        <w:tc>
          <w:tcPr>
            <w:tcW w:w="2581" w:type="dxa"/>
          </w:tcPr>
          <w:p w14:paraId="02C56DA7" w14:textId="099926D7" w:rsidR="00090142" w:rsidRDefault="00FB01E4">
            <w:pPr>
              <w:rPr>
                <w:rFonts w:ascii="Arial" w:hAnsi="Arial" w:cs="Arial"/>
                <w:b/>
                <w:bCs/>
              </w:rPr>
            </w:pPr>
            <w:r>
              <w:rPr>
                <w:rFonts w:ascii="Arial" w:hAnsi="Arial" w:cs="Arial"/>
                <w:b/>
                <w:bCs/>
              </w:rPr>
              <w:t>Level 5</w:t>
            </w:r>
          </w:p>
        </w:tc>
        <w:tc>
          <w:tcPr>
            <w:tcW w:w="2581" w:type="dxa"/>
          </w:tcPr>
          <w:p w14:paraId="6B0C3FBC" w14:textId="61B0ECB8" w:rsidR="00090142" w:rsidRDefault="00090142">
            <w:pPr>
              <w:rPr>
                <w:rFonts w:ascii="Arial" w:hAnsi="Arial" w:cs="Arial"/>
                <w:b/>
                <w:bCs/>
              </w:rPr>
            </w:pPr>
            <w:r>
              <w:rPr>
                <w:rFonts w:ascii="Arial" w:hAnsi="Arial" w:cs="Arial"/>
                <w:b/>
                <w:bCs/>
              </w:rPr>
              <w:t>Kornferry Function</w:t>
            </w:r>
          </w:p>
        </w:tc>
        <w:tc>
          <w:tcPr>
            <w:tcW w:w="2581" w:type="dxa"/>
          </w:tcPr>
          <w:p w14:paraId="4FF6059C" w14:textId="0656CB3A" w:rsidR="00090142" w:rsidRPr="00837C7C" w:rsidRDefault="003725A3">
            <w:pPr>
              <w:rPr>
                <w:rFonts w:ascii="Arial" w:hAnsi="Arial" w:cs="Arial"/>
                <w:i/>
                <w:iCs/>
              </w:rPr>
            </w:pPr>
            <w:r>
              <w:rPr>
                <w:rFonts w:ascii="Arial" w:hAnsi="Arial" w:cs="Arial"/>
                <w:i/>
                <w:iCs/>
              </w:rPr>
              <w:t>FAB17</w:t>
            </w:r>
          </w:p>
        </w:tc>
      </w:tr>
      <w:tr w:rsidR="00090142" w14:paraId="3F2AFD65" w14:textId="77777777" w:rsidTr="00C74D8A">
        <w:trPr>
          <w:trHeight w:val="273"/>
        </w:trPr>
        <w:tc>
          <w:tcPr>
            <w:tcW w:w="2581" w:type="dxa"/>
          </w:tcPr>
          <w:p w14:paraId="7F1C171A" w14:textId="3EAA8BDF" w:rsidR="00090142" w:rsidRDefault="00090142">
            <w:pPr>
              <w:rPr>
                <w:rFonts w:ascii="Arial" w:hAnsi="Arial" w:cs="Arial"/>
                <w:b/>
                <w:bCs/>
              </w:rPr>
            </w:pPr>
            <w:r>
              <w:rPr>
                <w:rFonts w:ascii="Arial" w:hAnsi="Arial" w:cs="Arial"/>
                <w:b/>
                <w:bCs/>
              </w:rPr>
              <w:t>Directorate</w:t>
            </w:r>
          </w:p>
        </w:tc>
        <w:tc>
          <w:tcPr>
            <w:tcW w:w="2581" w:type="dxa"/>
          </w:tcPr>
          <w:p w14:paraId="73AF2AC4" w14:textId="2D17D6E9" w:rsidR="00090142" w:rsidRPr="00BE0E57" w:rsidRDefault="00BE0E57">
            <w:pPr>
              <w:rPr>
                <w:rFonts w:ascii="Arial" w:hAnsi="Arial" w:cs="Arial"/>
              </w:rPr>
            </w:pPr>
            <w:r>
              <w:rPr>
                <w:rFonts w:ascii="Arial" w:hAnsi="Arial" w:cs="Arial"/>
              </w:rPr>
              <w:t>Finance Strategy and Transformation</w:t>
            </w:r>
          </w:p>
        </w:tc>
        <w:tc>
          <w:tcPr>
            <w:tcW w:w="2581" w:type="dxa"/>
          </w:tcPr>
          <w:p w14:paraId="220897D1" w14:textId="628F5DF6" w:rsidR="00090142" w:rsidRDefault="00090142">
            <w:pPr>
              <w:rPr>
                <w:rFonts w:ascii="Arial" w:hAnsi="Arial" w:cs="Arial"/>
                <w:b/>
                <w:bCs/>
              </w:rPr>
            </w:pPr>
            <w:r>
              <w:rPr>
                <w:rFonts w:ascii="Arial" w:hAnsi="Arial" w:cs="Arial"/>
                <w:b/>
                <w:bCs/>
              </w:rPr>
              <w:t>Function/Service</w:t>
            </w:r>
          </w:p>
        </w:tc>
        <w:tc>
          <w:tcPr>
            <w:tcW w:w="2581" w:type="dxa"/>
          </w:tcPr>
          <w:p w14:paraId="3EB4F515" w14:textId="07DB613C" w:rsidR="00090142" w:rsidRDefault="00B559C8">
            <w:pPr>
              <w:rPr>
                <w:rFonts w:ascii="Arial" w:hAnsi="Arial" w:cs="Arial"/>
                <w:b/>
                <w:bCs/>
              </w:rPr>
            </w:pPr>
            <w:r>
              <w:rPr>
                <w:rFonts w:ascii="Arial" w:hAnsi="Arial" w:cs="Arial"/>
              </w:rPr>
              <w:t>Financial Control</w:t>
            </w:r>
          </w:p>
        </w:tc>
      </w:tr>
      <w:tr w:rsidR="00090142" w14:paraId="1DB2CCF0" w14:textId="77777777" w:rsidTr="00C74D8A">
        <w:trPr>
          <w:trHeight w:val="262"/>
        </w:trPr>
        <w:tc>
          <w:tcPr>
            <w:tcW w:w="2581" w:type="dxa"/>
          </w:tcPr>
          <w:p w14:paraId="6F47F291" w14:textId="61605874" w:rsidR="00090142" w:rsidRDefault="00090142">
            <w:pPr>
              <w:rPr>
                <w:rFonts w:ascii="Arial" w:hAnsi="Arial" w:cs="Arial"/>
                <w:b/>
                <w:bCs/>
              </w:rPr>
            </w:pPr>
            <w:r>
              <w:rPr>
                <w:rFonts w:ascii="Arial" w:hAnsi="Arial" w:cs="Arial"/>
                <w:b/>
                <w:bCs/>
              </w:rPr>
              <w:t>Direct Reports</w:t>
            </w:r>
          </w:p>
        </w:tc>
        <w:tc>
          <w:tcPr>
            <w:tcW w:w="2581" w:type="dxa"/>
          </w:tcPr>
          <w:p w14:paraId="36318D94" w14:textId="79B7901A" w:rsidR="00090142" w:rsidRDefault="00B7477B">
            <w:pPr>
              <w:rPr>
                <w:rFonts w:ascii="Arial" w:hAnsi="Arial" w:cs="Arial"/>
                <w:b/>
                <w:bCs/>
              </w:rPr>
            </w:pPr>
            <w:r>
              <w:rPr>
                <w:rFonts w:ascii="Arial" w:hAnsi="Arial" w:cs="Arial"/>
                <w:b/>
                <w:bCs/>
              </w:rPr>
              <w:t>0</w:t>
            </w:r>
          </w:p>
        </w:tc>
        <w:tc>
          <w:tcPr>
            <w:tcW w:w="2581" w:type="dxa"/>
          </w:tcPr>
          <w:p w14:paraId="261125A2" w14:textId="6A2F86E1" w:rsidR="00090142" w:rsidRDefault="00090142">
            <w:pPr>
              <w:rPr>
                <w:rFonts w:ascii="Arial" w:hAnsi="Arial" w:cs="Arial"/>
                <w:b/>
                <w:bCs/>
              </w:rPr>
            </w:pPr>
            <w:r>
              <w:rPr>
                <w:rFonts w:ascii="Arial" w:hAnsi="Arial" w:cs="Arial"/>
                <w:b/>
                <w:bCs/>
              </w:rPr>
              <w:t>Indirect Reports</w:t>
            </w:r>
          </w:p>
        </w:tc>
        <w:tc>
          <w:tcPr>
            <w:tcW w:w="2581" w:type="dxa"/>
          </w:tcPr>
          <w:p w14:paraId="7ADD7A89" w14:textId="122024CB" w:rsidR="00090142" w:rsidRDefault="00B7477B">
            <w:pPr>
              <w:rPr>
                <w:rFonts w:ascii="Arial" w:hAnsi="Arial" w:cs="Arial"/>
                <w:b/>
                <w:bCs/>
              </w:rPr>
            </w:pPr>
            <w:r>
              <w:rPr>
                <w:rFonts w:ascii="Arial" w:hAnsi="Arial" w:cs="Arial"/>
                <w:b/>
                <w:bCs/>
              </w:rPr>
              <w:t>0</w:t>
            </w:r>
          </w:p>
        </w:tc>
      </w:tr>
      <w:tr w:rsidR="00782082" w14:paraId="2DD1EF3C" w14:textId="77777777" w:rsidTr="00C74D8A">
        <w:trPr>
          <w:trHeight w:val="262"/>
        </w:trPr>
        <w:tc>
          <w:tcPr>
            <w:tcW w:w="2581" w:type="dxa"/>
          </w:tcPr>
          <w:p w14:paraId="0A00C353" w14:textId="1B1E3FC8" w:rsidR="00782082" w:rsidRDefault="00782082">
            <w:pPr>
              <w:rPr>
                <w:rFonts w:ascii="Arial" w:hAnsi="Arial" w:cs="Arial"/>
                <w:b/>
                <w:bCs/>
              </w:rPr>
            </w:pPr>
            <w:r>
              <w:rPr>
                <w:rFonts w:ascii="Arial" w:hAnsi="Arial" w:cs="Arial"/>
                <w:b/>
                <w:bCs/>
              </w:rPr>
              <w:t>Line Manager Title</w:t>
            </w:r>
          </w:p>
        </w:tc>
        <w:tc>
          <w:tcPr>
            <w:tcW w:w="2581" w:type="dxa"/>
          </w:tcPr>
          <w:p w14:paraId="5A51FD06" w14:textId="1417CDF4" w:rsidR="00782082" w:rsidRDefault="0015527B">
            <w:pPr>
              <w:rPr>
                <w:rFonts w:ascii="Arial" w:hAnsi="Arial" w:cs="Arial"/>
                <w:b/>
                <w:bCs/>
              </w:rPr>
            </w:pPr>
            <w:r>
              <w:rPr>
                <w:rFonts w:ascii="Arial" w:hAnsi="Arial" w:cs="Arial"/>
              </w:rPr>
              <w:t>Head of Financial Accounting</w:t>
            </w:r>
          </w:p>
        </w:tc>
        <w:tc>
          <w:tcPr>
            <w:tcW w:w="2581" w:type="dxa"/>
          </w:tcPr>
          <w:p w14:paraId="1664C006" w14:textId="478DB48B" w:rsidR="00782082" w:rsidRDefault="00782082">
            <w:pPr>
              <w:rPr>
                <w:rFonts w:ascii="Arial" w:hAnsi="Arial" w:cs="Arial"/>
                <w:b/>
                <w:bCs/>
              </w:rPr>
            </w:pPr>
            <w:r>
              <w:rPr>
                <w:rFonts w:ascii="Arial" w:hAnsi="Arial" w:cs="Arial"/>
                <w:b/>
                <w:bCs/>
              </w:rPr>
              <w:t xml:space="preserve">Budgetary Responsibility </w:t>
            </w:r>
          </w:p>
        </w:tc>
        <w:tc>
          <w:tcPr>
            <w:tcW w:w="2581" w:type="dxa"/>
          </w:tcPr>
          <w:p w14:paraId="32276EC9" w14:textId="3AB48414" w:rsidR="00782082" w:rsidRPr="00782082" w:rsidRDefault="00782082">
            <w:pPr>
              <w:rPr>
                <w:rFonts w:ascii="Arial" w:hAnsi="Arial" w:cs="Arial"/>
                <w:i/>
                <w:iCs/>
              </w:rPr>
            </w:pPr>
          </w:p>
        </w:tc>
      </w:tr>
    </w:tbl>
    <w:p w14:paraId="3C5D30B6" w14:textId="77777777" w:rsidR="005A1C53" w:rsidRDefault="005A1C53" w:rsidP="0035638A">
      <w:pPr>
        <w:rPr>
          <w:rFonts w:ascii="Arial" w:eastAsia="Times New Roman" w:hAnsi="Arial" w:cs="Arial"/>
          <w:i/>
          <w:iCs/>
          <w:kern w:val="3"/>
          <w:lang w:eastAsia="en-GB"/>
        </w:rPr>
      </w:pPr>
    </w:p>
    <w:p w14:paraId="25543A04" w14:textId="4FFD1D63" w:rsidR="0035638A" w:rsidRPr="006960CA" w:rsidRDefault="3ABAFE32" w:rsidP="0035638A">
      <w:pPr>
        <w:rPr>
          <w:rFonts w:ascii="Arial" w:hAnsi="Arial" w:cs="Arial"/>
        </w:rPr>
      </w:pPr>
      <w:r w:rsidRPr="53B578DC">
        <w:rPr>
          <w:rFonts w:ascii="Arial" w:hAnsi="Arial" w:cs="Arial"/>
        </w:rPr>
        <w:t xml:space="preserve">Our Leadership Framework defines the leadership standards we </w:t>
      </w:r>
      <w:r w:rsidR="4997749F" w:rsidRPr="53B578DC">
        <w:rPr>
          <w:rFonts w:ascii="Arial" w:hAnsi="Arial" w:cs="Arial"/>
        </w:rPr>
        <w:t>want to see</w:t>
      </w:r>
      <w:r w:rsidRPr="53B578DC">
        <w:rPr>
          <w:rFonts w:ascii="Arial" w:hAnsi="Arial" w:cs="Arial"/>
        </w:rPr>
        <w:t xml:space="preserve"> at the British Red Cross. It shows what great leadership looks like.</w:t>
      </w:r>
      <w:r w:rsidRPr="53B578DC">
        <w:rPr>
          <w:rFonts w:ascii="Arial" w:hAnsi="Arial" w:cs="Arial"/>
          <w:b/>
          <w:bCs/>
        </w:rPr>
        <w:t xml:space="preserve"> </w:t>
      </w:r>
      <w:r w:rsidRPr="53B578DC">
        <w:rPr>
          <w:rFonts w:ascii="Arial" w:hAnsi="Arial" w:cs="Arial"/>
        </w:rPr>
        <w:t xml:space="preserve">Our goal is to create a great workplace and deliver excellent services to our users. </w:t>
      </w:r>
      <w:hyperlink r:id="rId10" w:history="1">
        <w:r w:rsidR="00326A8F" w:rsidRPr="00326A8F">
          <w:rPr>
            <w:rFonts w:ascii="Arial" w:hAnsi="Arial" w:cs="Arial"/>
            <w:color w:val="FF0000"/>
            <w:u w:val="single"/>
          </w:rPr>
          <w:t>Our Leadership Framework - RedRoom</w:t>
        </w:r>
      </w:hyperlink>
      <w:r w:rsidRPr="00326A8F">
        <w:rPr>
          <w:rFonts w:ascii="Arial" w:hAnsi="Arial" w:cs="Arial"/>
          <w:color w:val="FF0000"/>
        </w:rPr>
        <w:t xml:space="preserve">, </w:t>
      </w:r>
      <w:r w:rsidRPr="00AC2590">
        <w:rPr>
          <w:rFonts w:ascii="Arial" w:hAnsi="Arial" w:cs="Arial"/>
        </w:rPr>
        <w:t xml:space="preserve">along with </w:t>
      </w:r>
      <w:hyperlink r:id="rId11" w:history="1">
        <w:r w:rsidR="00FF467C" w:rsidRPr="00FF467C">
          <w:rPr>
            <w:rFonts w:ascii="Arial" w:hAnsi="Arial" w:cs="Arial"/>
            <w:color w:val="FF0000"/>
            <w:u w:val="single"/>
          </w:rPr>
          <w:t>Our values and behaviours - RedRoom</w:t>
        </w:r>
      </w:hyperlink>
      <w:r w:rsidR="00FF467C">
        <w:t xml:space="preserve"> </w:t>
      </w:r>
      <w:r w:rsidRPr="00AC2590">
        <w:rPr>
          <w:rFonts w:ascii="Arial" w:hAnsi="Arial" w:cs="Arial"/>
        </w:rPr>
        <w:t xml:space="preserve">and </w:t>
      </w:r>
      <w:r w:rsidRPr="00992DA2">
        <w:rPr>
          <w:rFonts w:ascii="Arial" w:hAnsi="Arial" w:cs="Arial"/>
        </w:rPr>
        <w:t>Fundamental Principles</w:t>
      </w:r>
      <w:r w:rsidRPr="00AC2590">
        <w:rPr>
          <w:rFonts w:ascii="Arial" w:hAnsi="Arial" w:cs="Arial"/>
        </w:rPr>
        <w:t>,</w:t>
      </w:r>
      <w:r w:rsidRPr="53B578DC">
        <w:rPr>
          <w:rFonts w:ascii="Arial" w:hAnsi="Arial" w:cs="Arial"/>
        </w:rPr>
        <w:t xml:space="preserve"> helps everyone understand how the leadership capabilities relate to their role and context. </w:t>
      </w:r>
    </w:p>
    <w:p w14:paraId="0C209D9B" w14:textId="0919935E" w:rsidR="00090142" w:rsidRDefault="004C7DB1">
      <w:pPr>
        <w:rPr>
          <w:rFonts w:ascii="Arial" w:hAnsi="Arial" w:cs="Arial"/>
          <w:b/>
          <w:bCs/>
          <w:color w:val="FF0000"/>
        </w:rPr>
      </w:pPr>
      <w:r w:rsidRPr="006960CA">
        <w:rPr>
          <w:rFonts w:ascii="Arial" w:hAnsi="Arial" w:cs="Arial"/>
          <w:kern w:val="0"/>
          <w14:ligatures w14:val="none"/>
        </w:rPr>
        <w:t>Diversity is something we celebrate, and we want you to be able to bring your authentic self to the British Red Cross. We want you to feel that you are in an inclusive environment, and a great position to help us spread the power of kindness</w:t>
      </w:r>
      <w:r w:rsidR="006D31FE" w:rsidRPr="006960CA">
        <w:rPr>
          <w:rFonts w:ascii="Arial" w:hAnsi="Arial" w:cs="Arial"/>
          <w:kern w:val="0"/>
          <w14:ligatures w14:val="none"/>
        </w:rPr>
        <w:t xml:space="preserve">. You can read more about </w:t>
      </w:r>
      <w:hyperlink r:id="rId12" w:history="1">
        <w:r w:rsidR="00491A14" w:rsidRPr="00491A14">
          <w:rPr>
            <w:rFonts w:ascii="Arial" w:hAnsi="Arial" w:cs="Arial"/>
            <w:color w:val="FF0000"/>
            <w:u w:val="single"/>
          </w:rPr>
          <w:t>Equity, Diversity &amp; Inclusion (EDI) at the British Red Cross - RedRoom</w:t>
        </w:r>
      </w:hyperlink>
      <w:r w:rsidR="00491A14" w:rsidRPr="00491A14">
        <w:rPr>
          <w:color w:val="FF0000"/>
        </w:rPr>
        <w:t xml:space="preserve"> </w:t>
      </w:r>
      <w:r w:rsidR="006D31FE" w:rsidRPr="00491A14">
        <w:rPr>
          <w:rFonts w:ascii="Arial" w:hAnsi="Arial" w:cs="Arial"/>
          <w:kern w:val="0"/>
          <w14:ligatures w14:val="none"/>
        </w:rPr>
        <w:t>here</w:t>
      </w:r>
      <w:r w:rsidR="00491A14" w:rsidRPr="00491A14">
        <w:rPr>
          <w:rFonts w:ascii="Arial" w:hAnsi="Arial" w:cs="Arial"/>
          <w:kern w:val="0"/>
          <w14:ligatures w14:val="none"/>
        </w:rPr>
        <w:t>.</w:t>
      </w:r>
    </w:p>
    <w:p w14:paraId="213A3CD5" w14:textId="77777777" w:rsidR="0016271F" w:rsidRPr="0016271F" w:rsidRDefault="0016271F">
      <w:pPr>
        <w:rPr>
          <w:rFonts w:ascii="Arial" w:hAnsi="Arial" w:cs="Arial"/>
          <w:b/>
          <w:bCs/>
          <w:color w:val="FF0000"/>
        </w:rPr>
      </w:pPr>
    </w:p>
    <w:tbl>
      <w:tblPr>
        <w:tblStyle w:val="TableGrid"/>
        <w:tblW w:w="10343" w:type="dxa"/>
        <w:tblLook w:val="04A0" w:firstRow="1" w:lastRow="0" w:firstColumn="1" w:lastColumn="0" w:noHBand="0" w:noVBand="1"/>
      </w:tblPr>
      <w:tblGrid>
        <w:gridCol w:w="2405"/>
        <w:gridCol w:w="7938"/>
      </w:tblGrid>
      <w:tr w:rsidR="007168ED" w:rsidRPr="007168ED" w14:paraId="6F63BE80" w14:textId="77777777" w:rsidTr="00C74D8A">
        <w:tc>
          <w:tcPr>
            <w:tcW w:w="10343" w:type="dxa"/>
            <w:gridSpan w:val="2"/>
            <w:shd w:val="clear" w:color="auto" w:fill="E7E6E6" w:themeFill="background2"/>
          </w:tcPr>
          <w:p w14:paraId="46F2E5B9" w14:textId="683A2BB6" w:rsidR="007168ED" w:rsidRPr="007168ED" w:rsidRDefault="007168ED" w:rsidP="007168ED">
            <w:pPr>
              <w:jc w:val="center"/>
              <w:rPr>
                <w:rFonts w:ascii="Arial" w:hAnsi="Arial" w:cs="Arial"/>
                <w:b/>
                <w:bCs/>
              </w:rPr>
            </w:pPr>
            <w:r w:rsidRPr="007168ED">
              <w:rPr>
                <w:rFonts w:ascii="Arial" w:hAnsi="Arial" w:cs="Arial"/>
                <w:b/>
                <w:bCs/>
              </w:rPr>
              <w:t>Role description:</w:t>
            </w:r>
          </w:p>
        </w:tc>
      </w:tr>
      <w:tr w:rsidR="00136E1B" w14:paraId="77FF808A" w14:textId="77777777" w:rsidTr="00C74D8A">
        <w:tc>
          <w:tcPr>
            <w:tcW w:w="2405" w:type="dxa"/>
          </w:tcPr>
          <w:p w14:paraId="7D78C636" w14:textId="350DFCAA" w:rsidR="00136E1B" w:rsidRDefault="00136E1B">
            <w:pPr>
              <w:rPr>
                <w:rFonts w:ascii="Arial" w:hAnsi="Arial" w:cs="Arial"/>
                <w:b/>
                <w:bCs/>
              </w:rPr>
            </w:pPr>
            <w:r>
              <w:rPr>
                <w:rFonts w:ascii="Arial" w:hAnsi="Arial" w:cs="Arial"/>
                <w:b/>
                <w:bCs/>
              </w:rPr>
              <w:t>Purpose</w:t>
            </w:r>
          </w:p>
        </w:tc>
        <w:tc>
          <w:tcPr>
            <w:tcW w:w="7938" w:type="dxa"/>
          </w:tcPr>
          <w:p w14:paraId="020F5467" w14:textId="77777777" w:rsidR="002F4791" w:rsidRDefault="002F4791" w:rsidP="002F4791">
            <w:pPr>
              <w:rPr>
                <w:rFonts w:ascii="Arial" w:hAnsi="Arial" w:cs="Arial"/>
              </w:rPr>
            </w:pPr>
            <w:r>
              <w:rPr>
                <w:rFonts w:ascii="Arial" w:hAnsi="Arial" w:cs="Arial"/>
              </w:rPr>
              <w:t>The Grants and Compliance Manager is responsible for overseeing compliance relating to grants and related reporting and controls.  The role works closely with other managers in International, UK Operations and Fundraising / Grant Management as well as programmatic, finance and fundraising teams across the wider organisation.</w:t>
            </w:r>
          </w:p>
          <w:p w14:paraId="0AF646CB" w14:textId="77777777" w:rsidR="002F4791" w:rsidRDefault="002F4791" w:rsidP="002F4791">
            <w:pPr>
              <w:rPr>
                <w:rFonts w:ascii="Arial" w:hAnsi="Arial" w:cs="Arial"/>
              </w:rPr>
            </w:pPr>
          </w:p>
          <w:p w14:paraId="2125ACAA" w14:textId="77777777" w:rsidR="002F4791" w:rsidRPr="00EC65C9" w:rsidRDefault="002F4791" w:rsidP="002F4791">
            <w:pPr>
              <w:rPr>
                <w:rFonts w:ascii="Arial" w:hAnsi="Arial" w:cs="Arial"/>
              </w:rPr>
            </w:pPr>
            <w:r>
              <w:rPr>
                <w:rFonts w:ascii="Arial" w:hAnsi="Arial" w:cs="Arial"/>
              </w:rPr>
              <w:t>The role is responsible for overseeing financial controls around donor reporting, due diligence, and for leading improvements to financial compliance within the organisation.</w:t>
            </w:r>
          </w:p>
          <w:p w14:paraId="1D58F018" w14:textId="77777777" w:rsidR="00136E1B" w:rsidRDefault="00136E1B" w:rsidP="00D01D42">
            <w:pPr>
              <w:rPr>
                <w:rFonts w:ascii="Arial" w:hAnsi="Arial" w:cs="Arial"/>
                <w:b/>
                <w:bCs/>
              </w:rPr>
            </w:pPr>
          </w:p>
        </w:tc>
      </w:tr>
      <w:tr w:rsidR="0016271F" w14:paraId="48C5CE92" w14:textId="77777777" w:rsidTr="00C74D8A">
        <w:tc>
          <w:tcPr>
            <w:tcW w:w="2405" w:type="dxa"/>
          </w:tcPr>
          <w:p w14:paraId="13728821" w14:textId="77777777" w:rsidR="0016271F" w:rsidRDefault="00401A00">
            <w:pPr>
              <w:rPr>
                <w:rFonts w:ascii="Arial" w:hAnsi="Arial" w:cs="Arial"/>
                <w:b/>
                <w:bCs/>
              </w:rPr>
            </w:pPr>
            <w:r>
              <w:rPr>
                <w:rFonts w:ascii="Arial" w:hAnsi="Arial" w:cs="Arial"/>
                <w:b/>
                <w:bCs/>
              </w:rPr>
              <w:t>Key Responsibilities</w:t>
            </w:r>
          </w:p>
          <w:p w14:paraId="5CBEA45B" w14:textId="77777777" w:rsidR="00B0452F" w:rsidRDefault="00B0452F">
            <w:pPr>
              <w:rPr>
                <w:rFonts w:ascii="Arial" w:hAnsi="Arial" w:cs="Arial"/>
                <w:b/>
                <w:bCs/>
              </w:rPr>
            </w:pPr>
          </w:p>
          <w:p w14:paraId="6E55A741" w14:textId="1C151162" w:rsidR="00B0452F" w:rsidRPr="00B0452F" w:rsidRDefault="00B0452F">
            <w:pPr>
              <w:rPr>
                <w:rFonts w:ascii="Arial" w:hAnsi="Arial" w:cs="Arial"/>
                <w:i/>
                <w:iCs/>
              </w:rPr>
            </w:pPr>
            <w:r>
              <w:rPr>
                <w:rFonts w:ascii="Arial" w:hAnsi="Arial" w:cs="Arial"/>
                <w:i/>
                <w:iCs/>
              </w:rPr>
              <w:t xml:space="preserve">Under </w:t>
            </w:r>
            <w:r w:rsidR="00AB63D8">
              <w:rPr>
                <w:rFonts w:ascii="Arial" w:hAnsi="Arial" w:cs="Arial"/>
                <w:i/>
                <w:iCs/>
              </w:rPr>
              <w:t xml:space="preserve">maximum of 4 </w:t>
            </w:r>
            <w:r>
              <w:rPr>
                <w:rFonts w:ascii="Arial" w:hAnsi="Arial" w:cs="Arial"/>
                <w:i/>
                <w:iCs/>
              </w:rPr>
              <w:t>headings with a maximum of 6 bullets per heading</w:t>
            </w:r>
          </w:p>
        </w:tc>
        <w:tc>
          <w:tcPr>
            <w:tcW w:w="7938" w:type="dxa"/>
          </w:tcPr>
          <w:p w14:paraId="15CC46EF" w14:textId="77777777" w:rsidR="00BB781C" w:rsidRPr="00D40D77" w:rsidRDefault="00BB781C" w:rsidP="00BB781C">
            <w:pPr>
              <w:rPr>
                <w:rFonts w:ascii="Arial" w:hAnsi="Arial" w:cs="Arial"/>
                <w:b/>
                <w:bCs/>
                <w:sz w:val="24"/>
                <w:szCs w:val="24"/>
              </w:rPr>
            </w:pPr>
            <w:r w:rsidRPr="00D40D77">
              <w:rPr>
                <w:rFonts w:ascii="Arial" w:hAnsi="Arial" w:cs="Arial"/>
                <w:b/>
                <w:bCs/>
                <w:sz w:val="24"/>
                <w:szCs w:val="24"/>
              </w:rPr>
              <w:t>Due Diligence</w:t>
            </w:r>
          </w:p>
          <w:p w14:paraId="58C9EDF4" w14:textId="77777777" w:rsidR="00BB781C" w:rsidRPr="00604A4A" w:rsidRDefault="00BB781C" w:rsidP="00BB781C">
            <w:pPr>
              <w:pStyle w:val="BodyText"/>
              <w:numPr>
                <w:ilvl w:val="0"/>
                <w:numId w:val="13"/>
              </w:numPr>
              <w:kinsoku w:val="0"/>
              <w:overflowPunct w:val="0"/>
              <w:spacing w:before="178"/>
              <w:ind w:right="1019"/>
              <w:jc w:val="both"/>
              <w:rPr>
                <w:rFonts w:ascii="Arial" w:hAnsi="Arial" w:cs="Arial"/>
              </w:rPr>
            </w:pPr>
            <w:r w:rsidRPr="00604A4A">
              <w:rPr>
                <w:rFonts w:ascii="Arial" w:hAnsi="Arial" w:cs="Arial"/>
              </w:rPr>
              <w:t xml:space="preserve">Ensure the International Directorate due diligence processes are consistent and well documented, with the relevant tools needed to complete these; ensuring that key financial risks are identified, and clear recommendations given on how to deal with areas of weaknesses identified. </w:t>
            </w:r>
          </w:p>
          <w:p w14:paraId="55BA8D25" w14:textId="77777777" w:rsidR="00BB781C" w:rsidRPr="00604A4A" w:rsidRDefault="00BB781C" w:rsidP="00BB781C">
            <w:pPr>
              <w:pStyle w:val="BodyText"/>
              <w:numPr>
                <w:ilvl w:val="0"/>
                <w:numId w:val="13"/>
              </w:numPr>
              <w:kinsoku w:val="0"/>
              <w:overflowPunct w:val="0"/>
              <w:spacing w:before="178"/>
              <w:ind w:right="1019"/>
              <w:jc w:val="both"/>
              <w:rPr>
                <w:rFonts w:ascii="Arial" w:hAnsi="Arial" w:cs="Arial"/>
              </w:rPr>
            </w:pPr>
            <w:r w:rsidRPr="00604A4A">
              <w:rPr>
                <w:rFonts w:ascii="Arial" w:hAnsi="Arial" w:cs="Arial"/>
              </w:rPr>
              <w:t>Lead on financial aspects of partner due diligence where required and advise internal stakeholders on managing the due diligence process.</w:t>
            </w:r>
          </w:p>
          <w:p w14:paraId="70C5A6AB" w14:textId="77777777" w:rsidR="00BB781C" w:rsidRPr="00604A4A" w:rsidRDefault="00BB781C" w:rsidP="00BB781C">
            <w:pPr>
              <w:pStyle w:val="BodyText"/>
              <w:numPr>
                <w:ilvl w:val="0"/>
                <w:numId w:val="13"/>
              </w:numPr>
              <w:kinsoku w:val="0"/>
              <w:overflowPunct w:val="0"/>
              <w:spacing w:before="178"/>
              <w:ind w:right="1019"/>
              <w:jc w:val="both"/>
              <w:rPr>
                <w:rFonts w:ascii="Arial" w:hAnsi="Arial" w:cs="Arial"/>
              </w:rPr>
            </w:pPr>
            <w:r w:rsidRPr="00604A4A">
              <w:rPr>
                <w:rFonts w:ascii="Arial" w:hAnsi="Arial" w:cs="Arial"/>
              </w:rPr>
              <w:t>Actively engage with all stakeholders, including the Director of Programme Quality and accountability, the Senior Grants and Compliance Manager, Heads of Region and Country Managers to monitor compliance and improvement plans within the due diligence framework.</w:t>
            </w:r>
          </w:p>
          <w:p w14:paraId="6997F357" w14:textId="77777777" w:rsidR="00BB781C" w:rsidRPr="00604A4A" w:rsidRDefault="00BB781C" w:rsidP="00BB781C">
            <w:pPr>
              <w:pStyle w:val="BodyText"/>
              <w:numPr>
                <w:ilvl w:val="0"/>
                <w:numId w:val="13"/>
              </w:numPr>
              <w:kinsoku w:val="0"/>
              <w:overflowPunct w:val="0"/>
              <w:spacing w:before="178"/>
              <w:ind w:right="1019"/>
              <w:jc w:val="both"/>
              <w:rPr>
                <w:rFonts w:ascii="Arial" w:hAnsi="Arial" w:cs="Arial"/>
              </w:rPr>
            </w:pPr>
            <w:r w:rsidRPr="00604A4A">
              <w:rPr>
                <w:rFonts w:ascii="Arial" w:hAnsi="Arial" w:cs="Arial"/>
              </w:rPr>
              <w:t>Monitor and maintain data on progress and completion of due diligence with partners.</w:t>
            </w:r>
          </w:p>
          <w:p w14:paraId="055F4F50" w14:textId="77777777" w:rsidR="00BB781C" w:rsidRPr="00604A4A" w:rsidRDefault="00BB781C" w:rsidP="00BB781C">
            <w:pPr>
              <w:pStyle w:val="BodyText"/>
              <w:numPr>
                <w:ilvl w:val="0"/>
                <w:numId w:val="13"/>
              </w:numPr>
              <w:kinsoku w:val="0"/>
              <w:overflowPunct w:val="0"/>
              <w:spacing w:before="178"/>
              <w:ind w:right="1019"/>
              <w:jc w:val="both"/>
              <w:rPr>
                <w:rFonts w:ascii="Arial" w:hAnsi="Arial" w:cs="Arial"/>
              </w:rPr>
            </w:pPr>
            <w:r w:rsidRPr="00604A4A">
              <w:rPr>
                <w:rFonts w:ascii="Arial" w:hAnsi="Arial" w:cs="Arial"/>
              </w:rPr>
              <w:t>Travel overseas to partner organisations to carry out due diligence as required</w:t>
            </w:r>
          </w:p>
          <w:p w14:paraId="34726975" w14:textId="77777777" w:rsidR="00BB781C" w:rsidRPr="00604A4A" w:rsidRDefault="00BB781C" w:rsidP="00BB781C">
            <w:pPr>
              <w:pStyle w:val="BodyText"/>
              <w:numPr>
                <w:ilvl w:val="0"/>
                <w:numId w:val="13"/>
              </w:numPr>
              <w:kinsoku w:val="0"/>
              <w:overflowPunct w:val="0"/>
              <w:spacing w:before="178"/>
              <w:ind w:right="1019"/>
              <w:jc w:val="both"/>
              <w:rPr>
                <w:rFonts w:ascii="Arial" w:hAnsi="Arial" w:cs="Arial"/>
              </w:rPr>
            </w:pPr>
            <w:r w:rsidRPr="00604A4A">
              <w:rPr>
                <w:rFonts w:ascii="Arial" w:hAnsi="Arial" w:cs="Arial"/>
              </w:rPr>
              <w:lastRenderedPageBreak/>
              <w:t>Support country managers and technical leads in understanding the wider due diligence framework as needed.</w:t>
            </w:r>
          </w:p>
          <w:p w14:paraId="24448C97" w14:textId="77777777" w:rsidR="00BB781C" w:rsidRPr="00D40D77" w:rsidRDefault="00BB781C" w:rsidP="00BB781C">
            <w:pPr>
              <w:rPr>
                <w:rFonts w:ascii="Arial" w:hAnsi="Arial" w:cs="Arial"/>
                <w:b/>
                <w:bCs/>
                <w:sz w:val="24"/>
                <w:szCs w:val="24"/>
              </w:rPr>
            </w:pPr>
            <w:r w:rsidRPr="00D40D77">
              <w:rPr>
                <w:rFonts w:ascii="Arial" w:hAnsi="Arial" w:cs="Arial"/>
                <w:b/>
                <w:bCs/>
                <w:sz w:val="24"/>
                <w:szCs w:val="24"/>
              </w:rPr>
              <w:t>Donor Compliance and Restricted Funds</w:t>
            </w:r>
          </w:p>
          <w:p w14:paraId="74D24396" w14:textId="77777777" w:rsidR="00BB781C" w:rsidRDefault="00BB781C" w:rsidP="00BB781C">
            <w:pPr>
              <w:pStyle w:val="BodyText"/>
              <w:numPr>
                <w:ilvl w:val="0"/>
                <w:numId w:val="13"/>
              </w:numPr>
              <w:kinsoku w:val="0"/>
              <w:overflowPunct w:val="0"/>
              <w:spacing w:before="178"/>
              <w:ind w:right="1019"/>
              <w:jc w:val="both"/>
              <w:rPr>
                <w:rFonts w:ascii="Arial" w:hAnsi="Arial" w:cs="Arial"/>
              </w:rPr>
            </w:pPr>
            <w:r w:rsidRPr="00762B7C">
              <w:rPr>
                <w:rFonts w:ascii="Arial" w:hAnsi="Arial" w:cs="Arial"/>
              </w:rPr>
              <w:t>Donor compliance reviews</w:t>
            </w:r>
            <w:r>
              <w:rPr>
                <w:rFonts w:ascii="Arial" w:hAnsi="Arial" w:cs="Arial"/>
              </w:rPr>
              <w:t xml:space="preserve">.  Ensure high value, high risk donor financial reports are completed to appropriate standards with all necessary financial controls in place.  </w:t>
            </w:r>
          </w:p>
          <w:p w14:paraId="4177BD50" w14:textId="77777777" w:rsidR="00BB781C" w:rsidRDefault="00BB781C" w:rsidP="00BB781C">
            <w:pPr>
              <w:pStyle w:val="BodyText"/>
              <w:numPr>
                <w:ilvl w:val="0"/>
                <w:numId w:val="13"/>
              </w:numPr>
              <w:kinsoku w:val="0"/>
              <w:overflowPunct w:val="0"/>
              <w:spacing w:before="178"/>
              <w:ind w:right="1019"/>
              <w:jc w:val="both"/>
              <w:rPr>
                <w:rFonts w:ascii="Arial" w:hAnsi="Arial" w:cs="Arial"/>
              </w:rPr>
            </w:pPr>
            <w:r>
              <w:rPr>
                <w:rFonts w:ascii="Arial" w:hAnsi="Arial" w:cs="Arial"/>
              </w:rPr>
              <w:t>Ensure that follow up actions arising from donor reports are followed through and that adjustments and corrections are posted in timely manner.</w:t>
            </w:r>
          </w:p>
          <w:p w14:paraId="29A68E97" w14:textId="77777777" w:rsidR="00BB781C" w:rsidRDefault="00BB781C" w:rsidP="00BB781C">
            <w:pPr>
              <w:pStyle w:val="BodyText"/>
              <w:numPr>
                <w:ilvl w:val="0"/>
                <w:numId w:val="13"/>
              </w:numPr>
              <w:kinsoku w:val="0"/>
              <w:overflowPunct w:val="0"/>
              <w:spacing w:before="178"/>
              <w:ind w:right="1019"/>
              <w:jc w:val="both"/>
              <w:rPr>
                <w:rFonts w:ascii="Arial" w:hAnsi="Arial" w:cs="Arial"/>
              </w:rPr>
            </w:pPr>
            <w:r>
              <w:rPr>
                <w:rFonts w:ascii="Arial" w:hAnsi="Arial" w:cs="Arial"/>
              </w:rPr>
              <w:t>Maintain oversight of all policies and procedures around donor reporting ensuring that they are up to date and fit for purpose.</w:t>
            </w:r>
          </w:p>
          <w:p w14:paraId="75B8F93D" w14:textId="77777777" w:rsidR="00BB781C" w:rsidRDefault="00BB781C" w:rsidP="00BB781C">
            <w:pPr>
              <w:pStyle w:val="BodyText"/>
              <w:numPr>
                <w:ilvl w:val="0"/>
                <w:numId w:val="13"/>
              </w:numPr>
              <w:kinsoku w:val="0"/>
              <w:overflowPunct w:val="0"/>
              <w:spacing w:before="178"/>
              <w:ind w:right="1019"/>
              <w:jc w:val="both"/>
              <w:rPr>
                <w:rFonts w:ascii="Arial" w:hAnsi="Arial" w:cs="Arial"/>
              </w:rPr>
            </w:pPr>
            <w:r>
              <w:rPr>
                <w:rFonts w:ascii="Arial" w:hAnsi="Arial" w:cs="Arial"/>
              </w:rPr>
              <w:t>Regularly engage with key stakeholders including those in fundraising programmes, grant management and finance to ensure that necessary controls are in place, adequate resourcing exists and that gaps or risks are identified, documented and mitigated.</w:t>
            </w:r>
          </w:p>
          <w:p w14:paraId="543E96D0" w14:textId="77777777" w:rsidR="00BB781C" w:rsidRDefault="00BB781C" w:rsidP="00BB781C">
            <w:pPr>
              <w:pStyle w:val="BodyText"/>
              <w:numPr>
                <w:ilvl w:val="0"/>
                <w:numId w:val="13"/>
              </w:numPr>
              <w:kinsoku w:val="0"/>
              <w:overflowPunct w:val="0"/>
              <w:spacing w:before="178"/>
              <w:ind w:right="1019"/>
              <w:jc w:val="both"/>
              <w:rPr>
                <w:rFonts w:ascii="Arial" w:hAnsi="Arial" w:cs="Arial"/>
              </w:rPr>
            </w:pPr>
            <w:r>
              <w:rPr>
                <w:rFonts w:ascii="Arial" w:hAnsi="Arial" w:cs="Arial"/>
              </w:rPr>
              <w:t>Develop and maintain reporting tools, KPIs and written reports as necessary to evaluate and communicate the effectiveness of the donor compliance environment.</w:t>
            </w:r>
          </w:p>
          <w:p w14:paraId="002C9AEF" w14:textId="77777777" w:rsidR="00BB781C" w:rsidRDefault="00BB781C" w:rsidP="00BB781C">
            <w:pPr>
              <w:pStyle w:val="BodyText"/>
              <w:numPr>
                <w:ilvl w:val="0"/>
                <w:numId w:val="13"/>
              </w:numPr>
              <w:kinsoku w:val="0"/>
              <w:overflowPunct w:val="0"/>
              <w:spacing w:before="178"/>
              <w:ind w:right="1019"/>
              <w:jc w:val="both"/>
              <w:rPr>
                <w:rFonts w:ascii="Arial" w:hAnsi="Arial" w:cs="Arial"/>
              </w:rPr>
            </w:pPr>
            <w:r w:rsidRPr="00762B7C">
              <w:rPr>
                <w:rFonts w:ascii="Arial" w:hAnsi="Arial" w:cs="Arial"/>
              </w:rPr>
              <w:t xml:space="preserve">Ensure that all necessary financial support is given to all restricted fund projects during the close out phase of the grant. </w:t>
            </w:r>
          </w:p>
          <w:p w14:paraId="4A406F7B" w14:textId="77777777" w:rsidR="00BB781C" w:rsidRDefault="00BB781C" w:rsidP="00BB781C">
            <w:pPr>
              <w:pStyle w:val="BodyText"/>
              <w:numPr>
                <w:ilvl w:val="0"/>
                <w:numId w:val="13"/>
              </w:numPr>
              <w:kinsoku w:val="0"/>
              <w:overflowPunct w:val="0"/>
              <w:spacing w:before="178"/>
              <w:ind w:right="1019"/>
              <w:jc w:val="both"/>
              <w:rPr>
                <w:rFonts w:ascii="Arial" w:hAnsi="Arial" w:cs="Arial"/>
              </w:rPr>
            </w:pPr>
            <w:r>
              <w:rPr>
                <w:rFonts w:ascii="Arial" w:hAnsi="Arial" w:cs="Arial"/>
              </w:rPr>
              <w:t>Support and advise on donor led audits as required.</w:t>
            </w:r>
          </w:p>
          <w:p w14:paraId="2501A56B" w14:textId="77777777" w:rsidR="00BB781C" w:rsidRPr="00F9543C" w:rsidRDefault="00BB781C" w:rsidP="00BB781C">
            <w:pPr>
              <w:pStyle w:val="BodyText"/>
              <w:numPr>
                <w:ilvl w:val="0"/>
                <w:numId w:val="13"/>
              </w:numPr>
              <w:kinsoku w:val="0"/>
              <w:overflowPunct w:val="0"/>
              <w:spacing w:before="178"/>
              <w:ind w:right="1019"/>
              <w:jc w:val="both"/>
              <w:rPr>
                <w:rFonts w:ascii="Arial" w:hAnsi="Arial" w:cs="Arial"/>
              </w:rPr>
            </w:pPr>
            <w:r>
              <w:rPr>
                <w:rFonts w:ascii="Arial" w:hAnsi="Arial" w:cs="Arial"/>
              </w:rPr>
              <w:t>Develop, implement and maintain compliance dashboards to inform management of levels of compliance with relevant policies and flag areas of concern.</w:t>
            </w:r>
          </w:p>
          <w:p w14:paraId="4B33B2AB" w14:textId="77777777" w:rsidR="00BB781C" w:rsidRDefault="00BB781C" w:rsidP="00BB781C">
            <w:pPr>
              <w:rPr>
                <w:rFonts w:ascii="Arial" w:hAnsi="Arial" w:cs="Arial"/>
                <w:color w:val="FF0000"/>
                <w:sz w:val="28"/>
                <w:szCs w:val="28"/>
              </w:rPr>
            </w:pPr>
          </w:p>
          <w:p w14:paraId="195A17D3" w14:textId="77777777" w:rsidR="00BB781C" w:rsidRPr="00D40D77" w:rsidRDefault="00BB781C" w:rsidP="00BB781C">
            <w:pPr>
              <w:rPr>
                <w:rFonts w:ascii="Arial" w:hAnsi="Arial" w:cs="Arial"/>
                <w:b/>
                <w:bCs/>
                <w:sz w:val="24"/>
                <w:szCs w:val="24"/>
              </w:rPr>
            </w:pPr>
            <w:r w:rsidRPr="00D40D77">
              <w:rPr>
                <w:rFonts w:ascii="Arial" w:hAnsi="Arial" w:cs="Arial"/>
                <w:b/>
                <w:bCs/>
                <w:sz w:val="24"/>
                <w:szCs w:val="24"/>
              </w:rPr>
              <w:t>Grant Management</w:t>
            </w:r>
          </w:p>
          <w:p w14:paraId="3050BAFE" w14:textId="77777777" w:rsidR="00BB781C" w:rsidRDefault="00BB781C" w:rsidP="00BB781C">
            <w:pPr>
              <w:pStyle w:val="BodyText"/>
              <w:numPr>
                <w:ilvl w:val="0"/>
                <w:numId w:val="13"/>
              </w:numPr>
              <w:kinsoku w:val="0"/>
              <w:overflowPunct w:val="0"/>
              <w:spacing w:before="178"/>
              <w:ind w:right="1019"/>
              <w:jc w:val="both"/>
              <w:rPr>
                <w:rFonts w:ascii="Arial" w:hAnsi="Arial" w:cs="Arial"/>
              </w:rPr>
            </w:pPr>
            <w:r>
              <w:rPr>
                <w:rFonts w:ascii="Arial" w:hAnsi="Arial" w:cs="Arial"/>
              </w:rPr>
              <w:t xml:space="preserve">Carry out grant audits to ensure correct accounting treatment of grant income and expenditure, with </w:t>
            </w:r>
            <w:proofErr w:type="gramStart"/>
            <w:r>
              <w:rPr>
                <w:rFonts w:ascii="Arial" w:hAnsi="Arial" w:cs="Arial"/>
              </w:rPr>
              <w:t>particular reference</w:t>
            </w:r>
            <w:proofErr w:type="gramEnd"/>
            <w:r>
              <w:rPr>
                <w:rFonts w:ascii="Arial" w:hAnsi="Arial" w:cs="Arial"/>
              </w:rPr>
              <w:t xml:space="preserve"> to SORP and other relevant regulations and standards.</w:t>
            </w:r>
          </w:p>
          <w:p w14:paraId="242264BD" w14:textId="77777777" w:rsidR="00BB781C" w:rsidRDefault="00BB781C" w:rsidP="00BB781C">
            <w:pPr>
              <w:pStyle w:val="BodyText"/>
              <w:numPr>
                <w:ilvl w:val="0"/>
                <w:numId w:val="13"/>
              </w:numPr>
              <w:kinsoku w:val="0"/>
              <w:overflowPunct w:val="0"/>
              <w:spacing w:before="178"/>
              <w:ind w:right="1019"/>
              <w:jc w:val="both"/>
              <w:rPr>
                <w:rFonts w:ascii="Arial" w:hAnsi="Arial" w:cs="Arial"/>
              </w:rPr>
            </w:pPr>
            <w:r>
              <w:rPr>
                <w:rFonts w:ascii="Arial" w:hAnsi="Arial" w:cs="Arial"/>
              </w:rPr>
              <w:t>Maintain knowledge of relevant regulations and standards e.g. SORP to ensure that organisational knowledge and awareness is current. Advise managers and other stakeholders as needed.</w:t>
            </w:r>
          </w:p>
          <w:p w14:paraId="567F5E8E" w14:textId="77777777" w:rsidR="00BB781C" w:rsidRDefault="00BB781C" w:rsidP="00BB781C">
            <w:pPr>
              <w:rPr>
                <w:rFonts w:ascii="Arial" w:hAnsi="Arial" w:cs="Arial"/>
                <w:color w:val="FF0000"/>
                <w:sz w:val="28"/>
                <w:szCs w:val="28"/>
              </w:rPr>
            </w:pPr>
          </w:p>
          <w:p w14:paraId="6F5B5AC1" w14:textId="77777777" w:rsidR="00BB781C" w:rsidRPr="00D40D77" w:rsidRDefault="00BB781C" w:rsidP="00BB781C">
            <w:pPr>
              <w:rPr>
                <w:rFonts w:ascii="Arial" w:hAnsi="Arial" w:cs="Arial"/>
                <w:b/>
                <w:bCs/>
                <w:sz w:val="24"/>
                <w:szCs w:val="24"/>
              </w:rPr>
            </w:pPr>
            <w:r w:rsidRPr="00D40D77">
              <w:rPr>
                <w:rFonts w:ascii="Arial" w:hAnsi="Arial" w:cs="Arial"/>
                <w:b/>
                <w:bCs/>
                <w:sz w:val="24"/>
                <w:szCs w:val="24"/>
              </w:rPr>
              <w:t>Training</w:t>
            </w:r>
          </w:p>
          <w:p w14:paraId="1EB590E8" w14:textId="77777777" w:rsidR="00BB781C" w:rsidRDefault="00BB781C" w:rsidP="00BB781C">
            <w:pPr>
              <w:pStyle w:val="BodyText"/>
              <w:numPr>
                <w:ilvl w:val="0"/>
                <w:numId w:val="13"/>
              </w:numPr>
              <w:kinsoku w:val="0"/>
              <w:overflowPunct w:val="0"/>
              <w:spacing w:before="178"/>
              <w:ind w:right="1019"/>
              <w:jc w:val="both"/>
              <w:rPr>
                <w:rFonts w:ascii="Arial" w:hAnsi="Arial" w:cs="Arial"/>
              </w:rPr>
            </w:pPr>
            <w:r>
              <w:rPr>
                <w:rFonts w:ascii="Arial" w:hAnsi="Arial" w:cs="Arial"/>
              </w:rPr>
              <w:t>Provide regular trainings to staff on areas of expertise to ensure understanding and effective control, ensuring that training materials and communication style reflects the needs of different audiences.</w:t>
            </w:r>
          </w:p>
          <w:p w14:paraId="3684D23F" w14:textId="77777777" w:rsidR="00BB781C" w:rsidRDefault="00BB781C" w:rsidP="00BB781C">
            <w:pPr>
              <w:pStyle w:val="BodyText"/>
              <w:numPr>
                <w:ilvl w:val="0"/>
                <w:numId w:val="13"/>
              </w:numPr>
              <w:kinsoku w:val="0"/>
              <w:overflowPunct w:val="0"/>
              <w:spacing w:before="178"/>
              <w:ind w:right="1019"/>
              <w:jc w:val="both"/>
              <w:rPr>
                <w:rFonts w:ascii="Arial" w:hAnsi="Arial" w:cs="Arial"/>
              </w:rPr>
            </w:pPr>
            <w:r>
              <w:rPr>
                <w:rFonts w:ascii="Arial" w:hAnsi="Arial" w:cs="Arial"/>
              </w:rPr>
              <w:t>Develop presentations, guides and process notes as required to share knowledge and expertise with the wider organisation.</w:t>
            </w:r>
          </w:p>
          <w:p w14:paraId="20829D0C" w14:textId="77777777" w:rsidR="00BB781C" w:rsidRDefault="00BB781C" w:rsidP="00BB781C">
            <w:pPr>
              <w:pStyle w:val="BodyText"/>
              <w:numPr>
                <w:ilvl w:val="0"/>
                <w:numId w:val="13"/>
              </w:numPr>
              <w:kinsoku w:val="0"/>
              <w:overflowPunct w:val="0"/>
              <w:spacing w:before="178"/>
              <w:ind w:right="1019"/>
              <w:jc w:val="both"/>
              <w:rPr>
                <w:rFonts w:ascii="Arial" w:hAnsi="Arial" w:cs="Arial"/>
              </w:rPr>
            </w:pPr>
            <w:r>
              <w:rPr>
                <w:rFonts w:ascii="Arial" w:hAnsi="Arial" w:cs="Arial"/>
              </w:rPr>
              <w:t>Identify gaps in knowledge or capacity across the organisation and, working with senior managers, develop strategies to resolve these.</w:t>
            </w:r>
          </w:p>
          <w:p w14:paraId="4DCF86E3" w14:textId="77777777" w:rsidR="00BB781C" w:rsidRDefault="00BB781C" w:rsidP="00BB781C">
            <w:pPr>
              <w:pStyle w:val="BodyText"/>
              <w:kinsoku w:val="0"/>
              <w:overflowPunct w:val="0"/>
              <w:spacing w:before="178"/>
              <w:ind w:right="1019"/>
              <w:jc w:val="both"/>
            </w:pPr>
          </w:p>
          <w:p w14:paraId="2D768EC7" w14:textId="77777777" w:rsidR="00BB781C" w:rsidRPr="00D40D77" w:rsidRDefault="00BB781C" w:rsidP="00BB781C">
            <w:pPr>
              <w:rPr>
                <w:rFonts w:ascii="Arial" w:hAnsi="Arial" w:cs="Arial"/>
                <w:b/>
                <w:bCs/>
                <w:sz w:val="24"/>
                <w:szCs w:val="24"/>
              </w:rPr>
            </w:pPr>
            <w:r w:rsidRPr="00D40D77">
              <w:rPr>
                <w:rFonts w:ascii="Arial" w:hAnsi="Arial" w:cs="Arial"/>
                <w:b/>
                <w:bCs/>
                <w:sz w:val="24"/>
                <w:szCs w:val="24"/>
              </w:rPr>
              <w:lastRenderedPageBreak/>
              <w:t>Other responsibilities</w:t>
            </w:r>
          </w:p>
          <w:p w14:paraId="385039BE" w14:textId="77777777" w:rsidR="00BB781C" w:rsidRDefault="00BB781C" w:rsidP="00BB781C">
            <w:pPr>
              <w:pStyle w:val="BodyText"/>
              <w:numPr>
                <w:ilvl w:val="0"/>
                <w:numId w:val="12"/>
              </w:numPr>
              <w:kinsoku w:val="0"/>
              <w:overflowPunct w:val="0"/>
              <w:spacing w:before="178"/>
              <w:ind w:right="1019"/>
              <w:jc w:val="both"/>
              <w:rPr>
                <w:rFonts w:ascii="Arial" w:hAnsi="Arial" w:cs="Arial"/>
              </w:rPr>
            </w:pPr>
            <w:r>
              <w:rPr>
                <w:rFonts w:ascii="Arial" w:hAnsi="Arial" w:cs="Arial"/>
              </w:rPr>
              <w:t>Provide cover and support for other members of the financial accounting team as required.</w:t>
            </w:r>
          </w:p>
          <w:p w14:paraId="78C3F281" w14:textId="77777777" w:rsidR="00BB781C" w:rsidRPr="00F9543C" w:rsidRDefault="00BB781C" w:rsidP="00BB781C">
            <w:pPr>
              <w:pStyle w:val="BodyText"/>
              <w:numPr>
                <w:ilvl w:val="0"/>
                <w:numId w:val="12"/>
              </w:numPr>
              <w:kinsoku w:val="0"/>
              <w:overflowPunct w:val="0"/>
              <w:spacing w:before="178"/>
              <w:ind w:right="1019"/>
              <w:jc w:val="both"/>
              <w:rPr>
                <w:rFonts w:ascii="Arial" w:hAnsi="Arial" w:cs="Arial"/>
              </w:rPr>
            </w:pPr>
            <w:r w:rsidRPr="00F9543C">
              <w:rPr>
                <w:rFonts w:ascii="Arial" w:hAnsi="Arial" w:cs="Arial"/>
              </w:rPr>
              <w:t xml:space="preserve">Work closely with Internal Audit to support the implementation of recommendations, as necessary. </w:t>
            </w:r>
          </w:p>
          <w:p w14:paraId="103B3FD1" w14:textId="77777777" w:rsidR="00BB781C" w:rsidRDefault="00BB781C" w:rsidP="00BB781C">
            <w:pPr>
              <w:pStyle w:val="BodyText"/>
              <w:numPr>
                <w:ilvl w:val="0"/>
                <w:numId w:val="12"/>
              </w:numPr>
              <w:kinsoku w:val="0"/>
              <w:overflowPunct w:val="0"/>
              <w:spacing w:before="178"/>
              <w:ind w:right="1019"/>
              <w:jc w:val="both"/>
              <w:rPr>
                <w:rFonts w:ascii="Arial" w:hAnsi="Arial" w:cs="Arial"/>
              </w:rPr>
            </w:pPr>
            <w:r w:rsidRPr="00762B7C">
              <w:rPr>
                <w:rFonts w:ascii="Arial" w:hAnsi="Arial" w:cs="Arial"/>
              </w:rPr>
              <w:t xml:space="preserve">Ensure compliance improvement is achieved and sustained. Establish and maintain effective communication mechanisms and foster good working relationships with partners. </w:t>
            </w:r>
          </w:p>
          <w:p w14:paraId="4C0BFFA1" w14:textId="77777777" w:rsidR="00BB781C" w:rsidRDefault="00BB781C" w:rsidP="00BB781C">
            <w:pPr>
              <w:pStyle w:val="BodyText"/>
              <w:numPr>
                <w:ilvl w:val="0"/>
                <w:numId w:val="12"/>
              </w:numPr>
              <w:kinsoku w:val="0"/>
              <w:overflowPunct w:val="0"/>
              <w:spacing w:before="178"/>
              <w:ind w:right="1019"/>
              <w:jc w:val="both"/>
              <w:rPr>
                <w:rFonts w:ascii="Arial" w:hAnsi="Arial" w:cs="Arial"/>
              </w:rPr>
            </w:pPr>
            <w:r w:rsidRPr="00762B7C">
              <w:rPr>
                <w:rFonts w:ascii="Arial" w:hAnsi="Arial" w:cs="Arial"/>
              </w:rPr>
              <w:t xml:space="preserve">Escalate actions through the appropriate risk management channel and in conjunction with key stakeholders. </w:t>
            </w:r>
          </w:p>
          <w:p w14:paraId="035AA101" w14:textId="77777777" w:rsidR="00BB781C" w:rsidRDefault="00BB781C" w:rsidP="00BB781C">
            <w:pPr>
              <w:pStyle w:val="BodyText"/>
              <w:numPr>
                <w:ilvl w:val="0"/>
                <w:numId w:val="12"/>
              </w:numPr>
              <w:kinsoku w:val="0"/>
              <w:overflowPunct w:val="0"/>
              <w:spacing w:before="178"/>
              <w:ind w:right="1019"/>
              <w:jc w:val="both"/>
              <w:rPr>
                <w:rFonts w:ascii="Arial" w:hAnsi="Arial" w:cs="Arial"/>
              </w:rPr>
            </w:pPr>
            <w:r w:rsidRPr="00762B7C">
              <w:rPr>
                <w:rFonts w:ascii="Arial" w:hAnsi="Arial" w:cs="Arial"/>
              </w:rPr>
              <w:t xml:space="preserve">Engage and participate on strategic projects to ensure financial controls and risk management activities are implemented appropriately according to BRC and donor regulations. </w:t>
            </w:r>
          </w:p>
          <w:p w14:paraId="46DF4ADA" w14:textId="77777777" w:rsidR="00BB781C" w:rsidRDefault="00BB781C" w:rsidP="00BB781C">
            <w:pPr>
              <w:pStyle w:val="BodyText"/>
              <w:numPr>
                <w:ilvl w:val="0"/>
                <w:numId w:val="12"/>
              </w:numPr>
              <w:kinsoku w:val="0"/>
              <w:overflowPunct w:val="0"/>
              <w:spacing w:before="178"/>
              <w:ind w:right="1019"/>
              <w:jc w:val="both"/>
              <w:rPr>
                <w:rFonts w:ascii="Arial" w:hAnsi="Arial" w:cs="Arial"/>
              </w:rPr>
            </w:pPr>
            <w:r w:rsidRPr="00762B7C">
              <w:rPr>
                <w:rFonts w:ascii="Arial" w:hAnsi="Arial" w:cs="Arial"/>
              </w:rPr>
              <w:t xml:space="preserve">Establish and maintain best-in-class grant management processes and systems. </w:t>
            </w:r>
          </w:p>
          <w:p w14:paraId="74FD2985" w14:textId="2644CAF8" w:rsidR="00BB781C" w:rsidRDefault="00BB781C" w:rsidP="00BB781C">
            <w:pPr>
              <w:rPr>
                <w:rFonts w:ascii="Arial" w:hAnsi="Arial" w:cs="Arial"/>
                <w:kern w:val="0"/>
                <w14:ligatures w14:val="none"/>
              </w:rPr>
            </w:pPr>
          </w:p>
          <w:p w14:paraId="66FE6717" w14:textId="2821F328" w:rsidR="00215AE1" w:rsidRPr="00BB781C" w:rsidRDefault="00AB63D8" w:rsidP="00BB781C">
            <w:pPr>
              <w:rPr>
                <w:rFonts w:ascii="Arial" w:hAnsi="Arial" w:cs="Arial"/>
              </w:rPr>
            </w:pPr>
            <w:r w:rsidRPr="00BB781C">
              <w:rPr>
                <w:rFonts w:ascii="Arial" w:hAnsi="Arial" w:cs="Arial"/>
                <w:kern w:val="0"/>
                <w14:ligatures w14:val="none"/>
              </w:rPr>
              <w:t>The responsibilities described are not a comprehensive list and additional tasks may be assigned from time to time that are in line with the level of the role.</w:t>
            </w:r>
          </w:p>
        </w:tc>
      </w:tr>
      <w:tr w:rsidR="00D92A0C" w14:paraId="0284D386" w14:textId="77777777" w:rsidTr="00703591">
        <w:tc>
          <w:tcPr>
            <w:tcW w:w="2405" w:type="dxa"/>
          </w:tcPr>
          <w:p w14:paraId="6E02B020" w14:textId="77777777" w:rsidR="00D92A0C" w:rsidRDefault="00D92A0C" w:rsidP="00D92A0C">
            <w:pPr>
              <w:rPr>
                <w:rFonts w:ascii="Arial" w:hAnsi="Arial" w:cs="Arial"/>
                <w:b/>
                <w:bCs/>
              </w:rPr>
            </w:pPr>
            <w:r>
              <w:rPr>
                <w:rFonts w:ascii="Arial" w:hAnsi="Arial" w:cs="Arial"/>
                <w:b/>
                <w:bCs/>
              </w:rPr>
              <w:lastRenderedPageBreak/>
              <w:t>Know-how</w:t>
            </w:r>
          </w:p>
          <w:p w14:paraId="782BB3E2" w14:textId="77777777" w:rsidR="00D92A0C" w:rsidRDefault="00D92A0C" w:rsidP="00D92A0C">
            <w:pPr>
              <w:rPr>
                <w:rFonts w:ascii="Arial" w:hAnsi="Arial" w:cs="Arial"/>
                <w:b/>
                <w:bCs/>
              </w:rPr>
            </w:pPr>
          </w:p>
          <w:p w14:paraId="3FA0D379" w14:textId="77777777" w:rsidR="00D92A0C" w:rsidRPr="00B0452F" w:rsidRDefault="00D92A0C" w:rsidP="00D92A0C">
            <w:pPr>
              <w:rPr>
                <w:rFonts w:ascii="Arial" w:hAnsi="Arial" w:cs="Arial"/>
                <w:i/>
                <w:iCs/>
              </w:rPr>
            </w:pPr>
            <w:r>
              <w:rPr>
                <w:rFonts w:ascii="Arial" w:hAnsi="Arial" w:cs="Arial"/>
                <w:i/>
                <w:iCs/>
              </w:rPr>
              <w:t xml:space="preserve">From your overall ‘Know-how’ description, please indicate clearly which are ‘Essential Criteria’ (no more that 6) and which are ‘Desirable Criteria’ (no more than 3) – these will then be used in recruitment (for advertising and shortlisting purposes) </w:t>
            </w:r>
          </w:p>
        </w:tc>
        <w:tc>
          <w:tcPr>
            <w:tcW w:w="7938" w:type="dxa"/>
          </w:tcPr>
          <w:p w14:paraId="60A648A1" w14:textId="77777777" w:rsidR="00D92A0C" w:rsidRPr="00032EF5" w:rsidRDefault="00D92A0C" w:rsidP="00D92A0C">
            <w:pPr>
              <w:spacing w:line="360" w:lineRule="auto"/>
              <w:rPr>
                <w:rFonts w:ascii="Arial" w:hAnsi="Arial" w:cs="Arial"/>
                <w:b/>
                <w:bCs/>
              </w:rPr>
            </w:pPr>
            <w:r w:rsidRPr="00032EF5">
              <w:rPr>
                <w:rFonts w:ascii="Arial" w:hAnsi="Arial" w:cs="Arial"/>
                <w:b/>
                <w:bCs/>
              </w:rPr>
              <w:t>Essential</w:t>
            </w:r>
          </w:p>
          <w:p w14:paraId="520D25AE" w14:textId="7F3BB0A9" w:rsidR="00D92A0C" w:rsidRPr="00301E55" w:rsidRDefault="00D92A0C" w:rsidP="00D92A0C">
            <w:pPr>
              <w:pStyle w:val="ListParagraph"/>
              <w:numPr>
                <w:ilvl w:val="0"/>
                <w:numId w:val="14"/>
              </w:numPr>
              <w:spacing w:line="360" w:lineRule="auto"/>
              <w:rPr>
                <w:rFonts w:ascii="Arial" w:hAnsi="Arial" w:cs="Arial"/>
              </w:rPr>
            </w:pPr>
            <w:r w:rsidRPr="00301E55">
              <w:rPr>
                <w:rFonts w:ascii="Arial" w:hAnsi="Arial" w:cs="Arial"/>
              </w:rPr>
              <w:t>Holds self and others accountable to meet commitments. Adheres to, and enforces, goals, policies, and procedures.</w:t>
            </w:r>
          </w:p>
          <w:p w14:paraId="2C971420" w14:textId="77777777" w:rsidR="00301E55" w:rsidRDefault="00D92A0C" w:rsidP="00D92A0C">
            <w:pPr>
              <w:pStyle w:val="ListParagraph"/>
              <w:numPr>
                <w:ilvl w:val="0"/>
                <w:numId w:val="14"/>
              </w:numPr>
              <w:spacing w:line="360" w:lineRule="auto"/>
              <w:rPr>
                <w:rFonts w:ascii="Arial" w:hAnsi="Arial" w:cs="Arial"/>
              </w:rPr>
            </w:pPr>
            <w:r w:rsidRPr="00301E55">
              <w:rPr>
                <w:rFonts w:ascii="Arial" w:hAnsi="Arial" w:cs="Arial"/>
              </w:rPr>
              <w:t>Gains the confidence and trust of others through honesty, integrity, and authenticity. Instils trust by following through on agreements and commitments despite competing priorities and by being honest and straightforward.</w:t>
            </w:r>
          </w:p>
          <w:p w14:paraId="426FB696" w14:textId="77777777" w:rsidR="00301E55" w:rsidRDefault="00D92A0C" w:rsidP="00D92A0C">
            <w:pPr>
              <w:pStyle w:val="ListParagraph"/>
              <w:numPr>
                <w:ilvl w:val="0"/>
                <w:numId w:val="14"/>
              </w:numPr>
              <w:spacing w:line="360" w:lineRule="auto"/>
              <w:rPr>
                <w:rFonts w:ascii="Arial" w:hAnsi="Arial" w:cs="Arial"/>
              </w:rPr>
            </w:pPr>
            <w:r w:rsidRPr="00301E55">
              <w:rPr>
                <w:rFonts w:ascii="Arial" w:hAnsi="Arial" w:cs="Arial"/>
              </w:rPr>
              <w:t xml:space="preserve">Adapts approach and demeanour in real time to match the shifting demands of different situations. </w:t>
            </w:r>
          </w:p>
          <w:p w14:paraId="249545FA" w14:textId="77777777" w:rsidR="00301E55" w:rsidRDefault="00D92A0C" w:rsidP="00D92A0C">
            <w:pPr>
              <w:pStyle w:val="ListParagraph"/>
              <w:numPr>
                <w:ilvl w:val="0"/>
                <w:numId w:val="14"/>
              </w:numPr>
              <w:spacing w:line="360" w:lineRule="auto"/>
              <w:rPr>
                <w:rFonts w:ascii="Arial" w:hAnsi="Arial" w:cs="Arial"/>
              </w:rPr>
            </w:pPr>
            <w:r w:rsidRPr="00301E55">
              <w:rPr>
                <w:rFonts w:ascii="Arial" w:hAnsi="Arial" w:cs="Arial"/>
              </w:rPr>
              <w:t>Exemplifies flexibility and resourcefulness; responds deftly to a variety of challenges and situations.</w:t>
            </w:r>
          </w:p>
          <w:p w14:paraId="3750FD47" w14:textId="39114F08" w:rsidR="00301E55" w:rsidRDefault="00D92A0C" w:rsidP="00301E55">
            <w:pPr>
              <w:pStyle w:val="ListParagraph"/>
              <w:numPr>
                <w:ilvl w:val="0"/>
                <w:numId w:val="14"/>
              </w:numPr>
              <w:spacing w:line="360" w:lineRule="auto"/>
              <w:rPr>
                <w:rFonts w:ascii="Arial" w:hAnsi="Arial" w:cs="Arial"/>
              </w:rPr>
            </w:pPr>
            <w:r w:rsidRPr="00301E55">
              <w:rPr>
                <w:rFonts w:ascii="Arial" w:hAnsi="Arial" w:cs="Arial"/>
              </w:rPr>
              <w:t>Develops and delivers multi-mode communications that convey a clear understanding of the unique needs of</w:t>
            </w:r>
            <w:r w:rsidR="00301E55">
              <w:rPr>
                <w:rFonts w:ascii="Arial" w:hAnsi="Arial" w:cs="Arial"/>
              </w:rPr>
              <w:t xml:space="preserve"> </w:t>
            </w:r>
            <w:r w:rsidRPr="00301E55">
              <w:rPr>
                <w:rFonts w:ascii="Arial" w:hAnsi="Arial" w:cs="Arial"/>
              </w:rPr>
              <w:t xml:space="preserve">different audiences. </w:t>
            </w:r>
          </w:p>
          <w:p w14:paraId="255A5888" w14:textId="097DB9E3" w:rsidR="00D92A0C" w:rsidRPr="00301E55" w:rsidRDefault="00D92A0C" w:rsidP="00301E55">
            <w:pPr>
              <w:pStyle w:val="ListParagraph"/>
              <w:numPr>
                <w:ilvl w:val="0"/>
                <w:numId w:val="14"/>
              </w:numPr>
              <w:spacing w:line="360" w:lineRule="auto"/>
              <w:rPr>
                <w:rFonts w:ascii="Arial" w:hAnsi="Arial" w:cs="Arial"/>
              </w:rPr>
            </w:pPr>
            <w:r w:rsidRPr="00301E55">
              <w:rPr>
                <w:rFonts w:ascii="Arial" w:hAnsi="Arial" w:cs="Arial"/>
              </w:rPr>
              <w:t xml:space="preserve">Provides technical guidance when required on interpreting and applying knowledge of laws, regulations and policies in area of expertise. </w:t>
            </w:r>
          </w:p>
          <w:p w14:paraId="160320AA" w14:textId="77777777" w:rsidR="00D92A0C" w:rsidRDefault="00D92A0C" w:rsidP="00D92A0C">
            <w:pPr>
              <w:spacing w:line="360" w:lineRule="auto"/>
              <w:rPr>
                <w:rFonts w:ascii="Arial" w:hAnsi="Arial" w:cs="Arial"/>
              </w:rPr>
            </w:pPr>
          </w:p>
          <w:p w14:paraId="1108E9A2" w14:textId="77777777" w:rsidR="00D92A0C" w:rsidRPr="00032EF5" w:rsidRDefault="00D92A0C" w:rsidP="00D92A0C">
            <w:pPr>
              <w:spacing w:line="360" w:lineRule="auto"/>
              <w:rPr>
                <w:rFonts w:ascii="Arial" w:hAnsi="Arial" w:cs="Arial"/>
                <w:b/>
                <w:bCs/>
              </w:rPr>
            </w:pPr>
            <w:r w:rsidRPr="00032EF5">
              <w:rPr>
                <w:rFonts w:ascii="Arial" w:hAnsi="Arial" w:cs="Arial"/>
                <w:b/>
                <w:bCs/>
              </w:rPr>
              <w:t xml:space="preserve">Desirable </w:t>
            </w:r>
          </w:p>
          <w:p w14:paraId="1DF7B775" w14:textId="77777777" w:rsidR="00D92A0C" w:rsidRDefault="00D92A0C" w:rsidP="00D92A0C">
            <w:pPr>
              <w:spacing w:line="360" w:lineRule="auto"/>
              <w:rPr>
                <w:rFonts w:ascii="Arial" w:hAnsi="Arial" w:cs="Arial"/>
              </w:rPr>
            </w:pPr>
            <w:r w:rsidRPr="00304CBE">
              <w:rPr>
                <w:rFonts w:ascii="Arial" w:hAnsi="Arial" w:cs="Arial"/>
                <w:b/>
                <w:bCs/>
              </w:rPr>
              <w:t>Continuous Learning:</w:t>
            </w:r>
            <w:r w:rsidRPr="00304CBE">
              <w:rPr>
                <w:rFonts w:ascii="Arial" w:hAnsi="Arial" w:cs="Arial"/>
              </w:rPr>
              <w:t> Demonstrates a commitment to personal and team development through ongoing learning and knowledge sharing.</w:t>
            </w:r>
          </w:p>
          <w:p w14:paraId="4345C18B" w14:textId="77777777" w:rsidR="00D92A0C" w:rsidRPr="00304CBE" w:rsidRDefault="00D92A0C" w:rsidP="00D92A0C">
            <w:pPr>
              <w:spacing w:line="360" w:lineRule="auto"/>
              <w:rPr>
                <w:rFonts w:ascii="Arial" w:hAnsi="Arial" w:cs="Arial"/>
              </w:rPr>
            </w:pPr>
          </w:p>
          <w:p w14:paraId="10680B43" w14:textId="77777777" w:rsidR="00D92A0C" w:rsidRPr="00055B42" w:rsidRDefault="00D92A0C" w:rsidP="00D92A0C">
            <w:pPr>
              <w:rPr>
                <w:rFonts w:ascii="Arial" w:hAnsi="Arial" w:cs="Arial"/>
                <w:i/>
                <w:iCs/>
                <w:highlight w:val="yellow"/>
              </w:rPr>
            </w:pPr>
          </w:p>
        </w:tc>
      </w:tr>
      <w:tr w:rsidR="00397DF6" w14:paraId="20F7A53E" w14:textId="77777777" w:rsidTr="00C74D8A">
        <w:tc>
          <w:tcPr>
            <w:tcW w:w="2405" w:type="dxa"/>
          </w:tcPr>
          <w:p w14:paraId="508B342C" w14:textId="10DF33BA" w:rsidR="00397DF6" w:rsidRDefault="00397DF6" w:rsidP="00397DF6">
            <w:pPr>
              <w:rPr>
                <w:rFonts w:ascii="Arial" w:hAnsi="Arial" w:cs="Arial"/>
                <w:b/>
                <w:bCs/>
              </w:rPr>
            </w:pPr>
            <w:r>
              <w:rPr>
                <w:rFonts w:ascii="Arial" w:hAnsi="Arial" w:cs="Arial"/>
                <w:b/>
                <w:bCs/>
              </w:rPr>
              <w:t>Additional Requirements</w:t>
            </w:r>
          </w:p>
        </w:tc>
        <w:tc>
          <w:tcPr>
            <w:tcW w:w="7938" w:type="dxa"/>
          </w:tcPr>
          <w:p w14:paraId="21CCA105" w14:textId="77777777" w:rsidR="00397DF6" w:rsidRPr="00032EF5" w:rsidRDefault="00397DF6" w:rsidP="00397DF6">
            <w:pPr>
              <w:spacing w:line="360" w:lineRule="auto"/>
              <w:rPr>
                <w:rFonts w:ascii="Arial" w:hAnsi="Arial" w:cs="Arial"/>
                <w:b/>
                <w:bCs/>
              </w:rPr>
            </w:pPr>
            <w:r w:rsidRPr="00032EF5">
              <w:rPr>
                <w:rFonts w:ascii="Arial" w:hAnsi="Arial" w:cs="Arial"/>
                <w:b/>
                <w:bCs/>
              </w:rPr>
              <w:t>Essential</w:t>
            </w:r>
          </w:p>
          <w:p w14:paraId="424A08CB" w14:textId="77777777" w:rsidR="00397DF6" w:rsidRPr="004B4B52" w:rsidRDefault="00397DF6" w:rsidP="00397DF6">
            <w:pPr>
              <w:spacing w:line="360" w:lineRule="auto"/>
              <w:rPr>
                <w:rFonts w:ascii="Arial" w:hAnsi="Arial" w:cs="Arial"/>
              </w:rPr>
            </w:pPr>
            <w:r w:rsidRPr="004B4B52">
              <w:rPr>
                <w:rFonts w:ascii="Arial" w:hAnsi="Arial" w:cs="Arial"/>
              </w:rPr>
              <w:t>-</w:t>
            </w:r>
            <w:r>
              <w:rPr>
                <w:rFonts w:ascii="Arial" w:hAnsi="Arial" w:cs="Arial"/>
              </w:rPr>
              <w:t xml:space="preserve"> Q</w:t>
            </w:r>
            <w:r w:rsidRPr="002A1AB8">
              <w:rPr>
                <w:rFonts w:ascii="Arial" w:hAnsi="Arial" w:cs="Arial"/>
              </w:rPr>
              <w:t xml:space="preserve">ualified accountant (or qualified by </w:t>
            </w:r>
            <w:proofErr w:type="gramStart"/>
            <w:r w:rsidRPr="002A1AB8">
              <w:rPr>
                <w:rFonts w:ascii="Arial" w:hAnsi="Arial" w:cs="Arial"/>
              </w:rPr>
              <w:t>experience)</w:t>
            </w:r>
            <w:r>
              <w:rPr>
                <w:rFonts w:ascii="Arial" w:hAnsi="Arial" w:cs="Arial"/>
              </w:rPr>
              <w:t>*</w:t>
            </w:r>
            <w:proofErr w:type="gramEnd"/>
            <w:r>
              <w:rPr>
                <w:rFonts w:ascii="Arial" w:hAnsi="Arial" w:cs="Arial"/>
              </w:rPr>
              <w:t>*</w:t>
            </w:r>
          </w:p>
          <w:p w14:paraId="2D4034A1" w14:textId="77777777" w:rsidR="00397DF6" w:rsidRDefault="00397DF6" w:rsidP="00397DF6">
            <w:pPr>
              <w:spacing w:line="360" w:lineRule="auto"/>
              <w:rPr>
                <w:rFonts w:ascii="Arial" w:hAnsi="Arial" w:cs="Arial"/>
              </w:rPr>
            </w:pPr>
            <w:r w:rsidRPr="004B4B52">
              <w:rPr>
                <w:rFonts w:ascii="Arial" w:hAnsi="Arial" w:cs="Arial"/>
              </w:rPr>
              <w:lastRenderedPageBreak/>
              <w:t>-</w:t>
            </w:r>
            <w:r>
              <w:rPr>
                <w:rFonts w:ascii="Arial" w:hAnsi="Arial" w:cs="Arial"/>
              </w:rPr>
              <w:t xml:space="preserve"> Significant knowledge of financial reporting standards and Charity SORP**</w:t>
            </w:r>
          </w:p>
          <w:p w14:paraId="132FD903" w14:textId="77777777" w:rsidR="00397DF6" w:rsidRDefault="00397DF6" w:rsidP="00397DF6">
            <w:pPr>
              <w:spacing w:line="360" w:lineRule="auto"/>
              <w:rPr>
                <w:rFonts w:ascii="Arial" w:hAnsi="Arial" w:cs="Arial"/>
              </w:rPr>
            </w:pPr>
            <w:r>
              <w:rPr>
                <w:rFonts w:ascii="Arial" w:hAnsi="Arial" w:cs="Arial"/>
              </w:rPr>
              <w:t xml:space="preserve">- Experience of international NGO environment and working with institutional donors e.g. FCDO, ECHO, USAID or </w:t>
            </w:r>
            <w:proofErr w:type="gramStart"/>
            <w:r>
              <w:rPr>
                <w:rFonts w:ascii="Arial" w:hAnsi="Arial" w:cs="Arial"/>
              </w:rPr>
              <w:t>similar.*</w:t>
            </w:r>
            <w:proofErr w:type="gramEnd"/>
            <w:r>
              <w:rPr>
                <w:rFonts w:ascii="Arial" w:hAnsi="Arial" w:cs="Arial"/>
              </w:rPr>
              <w:t>*</w:t>
            </w:r>
          </w:p>
          <w:p w14:paraId="2DA4F75F" w14:textId="77777777" w:rsidR="00397DF6" w:rsidRDefault="00397DF6" w:rsidP="00397DF6">
            <w:pPr>
              <w:spacing w:line="360" w:lineRule="auto"/>
              <w:rPr>
                <w:rFonts w:ascii="Arial" w:hAnsi="Arial" w:cs="Arial"/>
              </w:rPr>
            </w:pPr>
            <w:r>
              <w:rPr>
                <w:rFonts w:ascii="Arial" w:hAnsi="Arial" w:cs="Arial"/>
              </w:rPr>
              <w:t>- Effective communicator (written** and oral)</w:t>
            </w:r>
          </w:p>
          <w:p w14:paraId="2CB2C297" w14:textId="77777777" w:rsidR="00397DF6" w:rsidRDefault="00397DF6" w:rsidP="00397DF6">
            <w:pPr>
              <w:spacing w:line="360" w:lineRule="auto"/>
              <w:rPr>
                <w:rFonts w:ascii="Arial" w:hAnsi="Arial" w:cs="Arial"/>
              </w:rPr>
            </w:pPr>
            <w:r>
              <w:rPr>
                <w:rFonts w:ascii="Arial" w:hAnsi="Arial" w:cs="Arial"/>
              </w:rPr>
              <w:t xml:space="preserve">- Flexible and Adaptable, able to prioritise workload of self and others as </w:t>
            </w:r>
            <w:proofErr w:type="gramStart"/>
            <w:r>
              <w:rPr>
                <w:rFonts w:ascii="Arial" w:hAnsi="Arial" w:cs="Arial"/>
              </w:rPr>
              <w:t>required.*</w:t>
            </w:r>
            <w:proofErr w:type="gramEnd"/>
            <w:r>
              <w:rPr>
                <w:rFonts w:ascii="Arial" w:hAnsi="Arial" w:cs="Arial"/>
              </w:rPr>
              <w:t>*</w:t>
            </w:r>
          </w:p>
          <w:p w14:paraId="60DFF4D8" w14:textId="77777777" w:rsidR="00397DF6" w:rsidRPr="004B4B52" w:rsidRDefault="00397DF6" w:rsidP="00397DF6">
            <w:pPr>
              <w:spacing w:line="360" w:lineRule="auto"/>
              <w:rPr>
                <w:rFonts w:ascii="Arial" w:hAnsi="Arial" w:cs="Arial"/>
              </w:rPr>
            </w:pPr>
            <w:r>
              <w:rPr>
                <w:rFonts w:ascii="Arial" w:hAnsi="Arial" w:cs="Arial"/>
              </w:rPr>
              <w:t>- Proven experience in c</w:t>
            </w:r>
            <w:r w:rsidRPr="002A1AB8">
              <w:rPr>
                <w:rFonts w:ascii="Arial" w:hAnsi="Arial" w:cs="Arial"/>
              </w:rPr>
              <w:t>ontribut</w:t>
            </w:r>
            <w:r>
              <w:rPr>
                <w:rFonts w:ascii="Arial" w:hAnsi="Arial" w:cs="Arial"/>
              </w:rPr>
              <w:t>ing</w:t>
            </w:r>
            <w:r w:rsidRPr="002A1AB8">
              <w:rPr>
                <w:rFonts w:ascii="Arial" w:hAnsi="Arial" w:cs="Arial"/>
              </w:rPr>
              <w:t xml:space="preserve"> to the development and implementation of policies and controls</w:t>
            </w:r>
          </w:p>
          <w:p w14:paraId="0AC0E215" w14:textId="77777777" w:rsidR="00397DF6" w:rsidRDefault="00397DF6" w:rsidP="00397DF6">
            <w:pPr>
              <w:spacing w:line="360" w:lineRule="auto"/>
              <w:rPr>
                <w:rFonts w:ascii="Arial" w:hAnsi="Arial" w:cs="Arial"/>
              </w:rPr>
            </w:pPr>
            <w:r w:rsidRPr="004B4B52">
              <w:rPr>
                <w:rFonts w:ascii="Arial" w:hAnsi="Arial" w:cs="Arial"/>
              </w:rPr>
              <w:t>-</w:t>
            </w:r>
            <w:r>
              <w:t xml:space="preserve"> </w:t>
            </w:r>
            <w:r w:rsidRPr="002A1AB8">
              <w:rPr>
                <w:rFonts w:ascii="Arial" w:hAnsi="Arial" w:cs="Arial"/>
              </w:rPr>
              <w:t xml:space="preserve">Invests time in growing relationships with </w:t>
            </w:r>
            <w:r>
              <w:rPr>
                <w:rFonts w:ascii="Arial" w:hAnsi="Arial" w:cs="Arial"/>
              </w:rPr>
              <w:t xml:space="preserve">key stakeholders, </w:t>
            </w:r>
          </w:p>
          <w:p w14:paraId="24ADEA6A" w14:textId="77777777" w:rsidR="00397DF6" w:rsidRDefault="00397DF6" w:rsidP="00397DF6">
            <w:pPr>
              <w:spacing w:line="360" w:lineRule="auto"/>
              <w:rPr>
                <w:rFonts w:ascii="Arial" w:hAnsi="Arial" w:cs="Arial"/>
              </w:rPr>
            </w:pPr>
            <w:r>
              <w:rPr>
                <w:rFonts w:ascii="Arial" w:hAnsi="Arial" w:cs="Arial"/>
              </w:rPr>
              <w:t>- Provides internal stakeholders with knowledgeable, helpful advice and guidance on financial issues</w:t>
            </w:r>
          </w:p>
          <w:p w14:paraId="3F06B37C" w14:textId="77777777" w:rsidR="00397DF6" w:rsidRDefault="00397DF6" w:rsidP="00397DF6">
            <w:pPr>
              <w:spacing w:line="360" w:lineRule="auto"/>
              <w:rPr>
                <w:rFonts w:ascii="Arial" w:hAnsi="Arial" w:cs="Arial"/>
                <w:lang w:val="en-US"/>
              </w:rPr>
            </w:pPr>
            <w:r>
              <w:rPr>
                <w:rFonts w:ascii="Arial" w:hAnsi="Arial" w:cs="Arial"/>
                <w:lang w:val="en-US"/>
              </w:rPr>
              <w:t xml:space="preserve">- </w:t>
            </w:r>
            <w:r w:rsidRPr="002A1AB8">
              <w:rPr>
                <w:rFonts w:ascii="Arial" w:hAnsi="Arial" w:cs="Arial"/>
                <w:lang w:val="en-US"/>
              </w:rPr>
              <w:t xml:space="preserve">Ability to </w:t>
            </w:r>
            <w:r>
              <w:rPr>
                <w:rFonts w:ascii="Arial" w:hAnsi="Arial" w:cs="Arial"/>
                <w:lang w:val="en-US"/>
              </w:rPr>
              <w:t>develop</w:t>
            </w:r>
            <w:r w:rsidRPr="002A1AB8">
              <w:rPr>
                <w:rFonts w:ascii="Arial" w:hAnsi="Arial" w:cs="Arial"/>
                <w:lang w:val="en-US"/>
              </w:rPr>
              <w:t xml:space="preserve"> controls and finance policies &amp; procedures</w:t>
            </w:r>
            <w:r>
              <w:rPr>
                <w:rFonts w:ascii="Arial" w:hAnsi="Arial" w:cs="Arial"/>
                <w:lang w:val="en-US"/>
              </w:rPr>
              <w:t xml:space="preserve"> and roll out to different stakeholder groups.</w:t>
            </w:r>
          </w:p>
          <w:p w14:paraId="7F2060C1" w14:textId="77777777" w:rsidR="00397DF6" w:rsidRDefault="00397DF6" w:rsidP="00397DF6">
            <w:pPr>
              <w:spacing w:line="360" w:lineRule="auto"/>
              <w:rPr>
                <w:rFonts w:ascii="Arial" w:hAnsi="Arial" w:cs="Arial"/>
              </w:rPr>
            </w:pPr>
          </w:p>
          <w:p w14:paraId="182CBB9C" w14:textId="77777777" w:rsidR="00397DF6" w:rsidRPr="003D6531" w:rsidRDefault="00397DF6" w:rsidP="00397DF6">
            <w:pPr>
              <w:spacing w:line="360" w:lineRule="auto"/>
              <w:rPr>
                <w:rFonts w:ascii="Arial" w:hAnsi="Arial" w:cs="Arial"/>
                <w:b/>
                <w:bCs/>
              </w:rPr>
            </w:pPr>
            <w:r w:rsidRPr="00032EF5">
              <w:rPr>
                <w:rFonts w:ascii="Arial" w:hAnsi="Arial" w:cs="Arial"/>
                <w:b/>
                <w:bCs/>
              </w:rPr>
              <w:t xml:space="preserve">Desirable </w:t>
            </w:r>
          </w:p>
          <w:p w14:paraId="07260DF1" w14:textId="77777777" w:rsidR="00397DF6" w:rsidRDefault="00397DF6" w:rsidP="00397DF6">
            <w:pPr>
              <w:spacing w:line="360" w:lineRule="auto"/>
              <w:rPr>
                <w:rFonts w:ascii="Arial" w:hAnsi="Arial" w:cs="Arial"/>
              </w:rPr>
            </w:pPr>
            <w:r>
              <w:rPr>
                <w:rFonts w:ascii="Arial" w:hAnsi="Arial" w:cs="Arial"/>
              </w:rPr>
              <w:t>- Work in a Charity Finance function</w:t>
            </w:r>
          </w:p>
          <w:p w14:paraId="075D4A4A" w14:textId="59F187DA" w:rsidR="00397DF6" w:rsidRPr="00D32B80" w:rsidRDefault="00397DF6" w:rsidP="00397DF6">
            <w:pPr>
              <w:rPr>
                <w:rFonts w:ascii="Arial" w:hAnsi="Arial" w:cs="Arial"/>
                <w:i/>
                <w:iCs/>
                <w:highlight w:val="yellow"/>
              </w:rPr>
            </w:pPr>
            <w:r>
              <w:rPr>
                <w:rFonts w:ascii="Arial" w:hAnsi="Arial" w:cs="Arial"/>
              </w:rPr>
              <w:t>- Evidence of successful working with wide stakeholder groups, including with senior managers and external partners and donors.</w:t>
            </w:r>
          </w:p>
        </w:tc>
      </w:tr>
    </w:tbl>
    <w:p w14:paraId="32484576" w14:textId="77777777" w:rsidR="003E6E56" w:rsidRDefault="003E6E56">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14:paraId="5810D18A" w14:textId="77777777" w:rsidTr="00C74D8A">
        <w:tc>
          <w:tcPr>
            <w:tcW w:w="3005" w:type="dxa"/>
          </w:tcPr>
          <w:p w14:paraId="245803A9" w14:textId="77777777" w:rsidR="00FE4604" w:rsidRDefault="00FE4604">
            <w:pPr>
              <w:rPr>
                <w:rFonts w:ascii="Arial" w:hAnsi="Arial" w:cs="Arial"/>
                <w:b/>
                <w:bCs/>
              </w:rPr>
            </w:pPr>
            <w:r>
              <w:rPr>
                <w:rFonts w:ascii="Arial" w:hAnsi="Arial" w:cs="Arial"/>
                <w:b/>
                <w:bCs/>
              </w:rPr>
              <w:t>Pre Engagement Checks</w:t>
            </w:r>
          </w:p>
          <w:p w14:paraId="37EC5C98" w14:textId="171819A2" w:rsidR="007351A1" w:rsidRPr="007351A1" w:rsidRDefault="00F8074A">
            <w:pPr>
              <w:rPr>
                <w:rFonts w:ascii="Arial" w:hAnsi="Arial" w:cs="Arial"/>
              </w:rPr>
            </w:pPr>
            <w:r>
              <w:rPr>
                <w:rFonts w:ascii="Arial" w:hAnsi="Arial" w:cs="Arial"/>
              </w:rPr>
              <w:t>Highlight bold as required</w:t>
            </w:r>
          </w:p>
        </w:tc>
        <w:tc>
          <w:tcPr>
            <w:tcW w:w="7338" w:type="dxa"/>
            <w:gridSpan w:val="2"/>
          </w:tcPr>
          <w:p w14:paraId="4CB1B245" w14:textId="77777777" w:rsidR="00FE4604" w:rsidRDefault="00FE4604">
            <w:pPr>
              <w:rPr>
                <w:rFonts w:ascii="Arial" w:hAnsi="Arial" w:cs="Arial"/>
                <w:b/>
                <w:bCs/>
              </w:rPr>
            </w:pPr>
          </w:p>
        </w:tc>
      </w:tr>
      <w:tr w:rsidR="00FE4604" w14:paraId="1B3D2401" w14:textId="77777777" w:rsidTr="00C74D8A">
        <w:tc>
          <w:tcPr>
            <w:tcW w:w="3005" w:type="dxa"/>
          </w:tcPr>
          <w:p w14:paraId="18438396" w14:textId="014F2642" w:rsidR="00FE4604" w:rsidRPr="002F4BCD" w:rsidRDefault="00FE4604">
            <w:pPr>
              <w:rPr>
                <w:rFonts w:ascii="Arial" w:hAnsi="Arial" w:cs="Arial"/>
              </w:rPr>
            </w:pPr>
            <w:r w:rsidRPr="002F4BCD">
              <w:rPr>
                <w:rFonts w:ascii="Arial" w:hAnsi="Arial" w:cs="Arial"/>
              </w:rPr>
              <w:t>DBS- England &amp; Wales</w:t>
            </w:r>
          </w:p>
        </w:tc>
        <w:tc>
          <w:tcPr>
            <w:tcW w:w="7338" w:type="dxa"/>
            <w:gridSpan w:val="2"/>
          </w:tcPr>
          <w:p w14:paraId="5290E20E" w14:textId="349D5718" w:rsidR="00FE4604" w:rsidRPr="00FE4604" w:rsidRDefault="00FE4604">
            <w:pPr>
              <w:rPr>
                <w:rFonts w:ascii="Arial" w:hAnsi="Arial" w:cs="Arial"/>
              </w:rPr>
            </w:pPr>
            <w:r>
              <w:rPr>
                <w:rFonts w:ascii="Arial" w:hAnsi="Arial" w:cs="Arial"/>
              </w:rPr>
              <w:t>Adult/ Child/ Adult &amp; Child Workforce/None</w:t>
            </w:r>
          </w:p>
        </w:tc>
      </w:tr>
      <w:tr w:rsidR="00FE4604" w14:paraId="330254D6" w14:textId="77777777" w:rsidTr="00C74D8A">
        <w:tc>
          <w:tcPr>
            <w:tcW w:w="3005" w:type="dxa"/>
          </w:tcPr>
          <w:p w14:paraId="139B09F1" w14:textId="20777FD1" w:rsidR="00FE4604" w:rsidRPr="002F4BCD" w:rsidRDefault="00FE4604">
            <w:pPr>
              <w:rPr>
                <w:rFonts w:ascii="Arial" w:hAnsi="Arial" w:cs="Arial"/>
              </w:rPr>
            </w:pPr>
            <w:r w:rsidRPr="002F4BCD">
              <w:rPr>
                <w:rFonts w:ascii="Arial" w:hAnsi="Arial" w:cs="Arial"/>
              </w:rPr>
              <w:t>PVG- Scotland</w:t>
            </w:r>
          </w:p>
        </w:tc>
        <w:tc>
          <w:tcPr>
            <w:tcW w:w="7338" w:type="dxa"/>
            <w:gridSpan w:val="2"/>
          </w:tcPr>
          <w:p w14:paraId="4B9F22AE" w14:textId="2FC19816" w:rsidR="00FE4604" w:rsidRDefault="00FE4604">
            <w:pPr>
              <w:rPr>
                <w:rFonts w:ascii="Arial" w:hAnsi="Arial" w:cs="Arial"/>
                <w:b/>
                <w:bCs/>
              </w:rPr>
            </w:pPr>
            <w:r>
              <w:rPr>
                <w:rFonts w:ascii="Arial" w:hAnsi="Arial" w:cs="Arial"/>
              </w:rPr>
              <w:t>Adult/ Child/ Adult &amp; Child/ None</w:t>
            </w:r>
          </w:p>
        </w:tc>
      </w:tr>
      <w:tr w:rsidR="00FE4604" w14:paraId="116997EC" w14:textId="77777777" w:rsidTr="00C74D8A">
        <w:tc>
          <w:tcPr>
            <w:tcW w:w="3005" w:type="dxa"/>
          </w:tcPr>
          <w:p w14:paraId="64077A92" w14:textId="16111B4B" w:rsidR="00FE4604" w:rsidRPr="002F4BCD" w:rsidRDefault="00FE4604">
            <w:pPr>
              <w:rPr>
                <w:rFonts w:ascii="Arial" w:hAnsi="Arial" w:cs="Arial"/>
              </w:rPr>
            </w:pPr>
            <w:r w:rsidRPr="002F4BCD">
              <w:rPr>
                <w:rFonts w:ascii="Arial" w:hAnsi="Arial" w:cs="Arial"/>
              </w:rPr>
              <w:t>Access NI- Northern Ireland</w:t>
            </w:r>
          </w:p>
        </w:tc>
        <w:tc>
          <w:tcPr>
            <w:tcW w:w="7338" w:type="dxa"/>
            <w:gridSpan w:val="2"/>
          </w:tcPr>
          <w:p w14:paraId="367DC133" w14:textId="60AAACCB" w:rsidR="00FE4604" w:rsidRPr="00973208" w:rsidRDefault="00973208">
            <w:pPr>
              <w:rPr>
                <w:rFonts w:ascii="Arial" w:hAnsi="Arial" w:cs="Arial"/>
              </w:rPr>
            </w:pPr>
            <w:r>
              <w:rPr>
                <w:rFonts w:ascii="Arial" w:hAnsi="Arial" w:cs="Arial"/>
              </w:rPr>
              <w:t>Vul</w:t>
            </w:r>
            <w:r w:rsidR="007351A1">
              <w:rPr>
                <w:rFonts w:ascii="Arial" w:hAnsi="Arial" w:cs="Arial"/>
              </w:rPr>
              <w:t>nerable Adult/ Child/ Vulnerable Adult &amp; Child/None</w:t>
            </w:r>
          </w:p>
        </w:tc>
      </w:tr>
      <w:tr w:rsidR="00FE4604" w14:paraId="6E4B1E62" w14:textId="77777777" w:rsidTr="00C74D8A">
        <w:tc>
          <w:tcPr>
            <w:tcW w:w="3005" w:type="dxa"/>
          </w:tcPr>
          <w:p w14:paraId="41C76809" w14:textId="478C217B" w:rsidR="00FE4604" w:rsidRPr="002F4BCD" w:rsidRDefault="00FE4604">
            <w:pPr>
              <w:rPr>
                <w:rFonts w:ascii="Arial" w:hAnsi="Arial" w:cs="Arial"/>
              </w:rPr>
            </w:pPr>
            <w:r w:rsidRPr="002F4BCD">
              <w:rPr>
                <w:rFonts w:ascii="Arial" w:hAnsi="Arial" w:cs="Arial"/>
              </w:rPr>
              <w:t>Driver Check</w:t>
            </w:r>
          </w:p>
        </w:tc>
        <w:tc>
          <w:tcPr>
            <w:tcW w:w="3005" w:type="dxa"/>
          </w:tcPr>
          <w:p w14:paraId="19EEF544" w14:textId="46EA556C" w:rsidR="00FE4604" w:rsidRPr="00F8074A" w:rsidRDefault="00F8074A">
            <w:pPr>
              <w:rPr>
                <w:rFonts w:ascii="Arial" w:hAnsi="Arial" w:cs="Arial"/>
              </w:rPr>
            </w:pPr>
            <w:r w:rsidRPr="00F8074A">
              <w:rPr>
                <w:rFonts w:ascii="Arial" w:hAnsi="Arial" w:cs="Arial"/>
              </w:rPr>
              <w:t>Yes/No</w:t>
            </w:r>
          </w:p>
        </w:tc>
        <w:tc>
          <w:tcPr>
            <w:tcW w:w="4333" w:type="dxa"/>
          </w:tcPr>
          <w:p w14:paraId="7F43FCED" w14:textId="77777777" w:rsidR="00FE4604" w:rsidRDefault="00FE4604">
            <w:pPr>
              <w:rPr>
                <w:rFonts w:ascii="Arial" w:hAnsi="Arial" w:cs="Arial"/>
                <w:b/>
                <w:bCs/>
              </w:rPr>
            </w:pPr>
          </w:p>
        </w:tc>
      </w:tr>
      <w:tr w:rsidR="00070CBB" w14:paraId="021E3711" w14:textId="77777777" w:rsidTr="00C74D8A">
        <w:tc>
          <w:tcPr>
            <w:tcW w:w="3005" w:type="dxa"/>
          </w:tcPr>
          <w:p w14:paraId="4CF5BFDA" w14:textId="1DD433CB" w:rsidR="00070CBB" w:rsidRPr="002F4BCD" w:rsidRDefault="00070CBB">
            <w:pPr>
              <w:rPr>
                <w:rFonts w:ascii="Arial" w:hAnsi="Arial" w:cs="Arial"/>
                <w:b/>
                <w:bCs/>
                <w:u w:val="single"/>
              </w:rPr>
            </w:pPr>
            <w:r w:rsidRPr="002F4BCD">
              <w:rPr>
                <w:rFonts w:ascii="Arial" w:hAnsi="Arial" w:cs="Arial"/>
                <w:b/>
                <w:bCs/>
                <w:u w:val="single"/>
              </w:rPr>
              <w:t>International Roles Only</w:t>
            </w:r>
          </w:p>
        </w:tc>
        <w:tc>
          <w:tcPr>
            <w:tcW w:w="7338" w:type="dxa"/>
            <w:gridSpan w:val="2"/>
          </w:tcPr>
          <w:p w14:paraId="17AA7A30" w14:textId="77777777" w:rsidR="00070CBB" w:rsidRDefault="00070CBB">
            <w:pPr>
              <w:rPr>
                <w:rFonts w:ascii="Arial" w:hAnsi="Arial" w:cs="Arial"/>
                <w:b/>
                <w:bCs/>
              </w:rPr>
            </w:pPr>
          </w:p>
        </w:tc>
      </w:tr>
      <w:tr w:rsidR="002F4BCD" w14:paraId="0C191627" w14:textId="77777777" w:rsidTr="00C74D8A">
        <w:tc>
          <w:tcPr>
            <w:tcW w:w="3005" w:type="dxa"/>
          </w:tcPr>
          <w:p w14:paraId="6A0C3CFB" w14:textId="39739BC7" w:rsidR="002F4BCD" w:rsidRPr="002F4BCD" w:rsidRDefault="002F4BCD">
            <w:pPr>
              <w:rPr>
                <w:rFonts w:ascii="Arial" w:hAnsi="Arial" w:cs="Arial"/>
                <w:u w:val="single"/>
              </w:rPr>
            </w:pPr>
            <w:r w:rsidRPr="002F4BCD">
              <w:rPr>
                <w:rFonts w:ascii="Arial" w:hAnsi="Arial" w:cs="Arial"/>
              </w:rPr>
              <w:t>International Police Check</w:t>
            </w:r>
          </w:p>
        </w:tc>
        <w:tc>
          <w:tcPr>
            <w:tcW w:w="7338" w:type="dxa"/>
            <w:gridSpan w:val="2"/>
          </w:tcPr>
          <w:p w14:paraId="728C5155" w14:textId="1B390692" w:rsidR="002F4BCD" w:rsidRDefault="000D3992">
            <w:pPr>
              <w:rPr>
                <w:rFonts w:ascii="Arial" w:hAnsi="Arial" w:cs="Arial"/>
                <w:b/>
                <w:bCs/>
              </w:rPr>
            </w:pPr>
            <w:r w:rsidRPr="00F8074A">
              <w:rPr>
                <w:rFonts w:ascii="Arial" w:hAnsi="Arial" w:cs="Arial"/>
              </w:rPr>
              <w:t>Yes/No</w:t>
            </w:r>
          </w:p>
        </w:tc>
      </w:tr>
      <w:tr w:rsidR="002F4BCD" w14:paraId="4A38CE1E" w14:textId="77777777" w:rsidTr="00C74D8A">
        <w:tc>
          <w:tcPr>
            <w:tcW w:w="3005" w:type="dxa"/>
          </w:tcPr>
          <w:p w14:paraId="061AA4E5" w14:textId="3E751912" w:rsidR="002F4BCD" w:rsidRPr="000D3992" w:rsidRDefault="000D3992">
            <w:pPr>
              <w:rPr>
                <w:rFonts w:ascii="Arial" w:hAnsi="Arial" w:cs="Arial"/>
              </w:rPr>
            </w:pPr>
            <w:r w:rsidRPr="000D3992">
              <w:rPr>
                <w:rFonts w:ascii="Arial" w:hAnsi="Arial" w:cs="Arial"/>
              </w:rPr>
              <w:t>International Driving Licence for manual cars</w:t>
            </w:r>
          </w:p>
        </w:tc>
        <w:tc>
          <w:tcPr>
            <w:tcW w:w="7338" w:type="dxa"/>
            <w:gridSpan w:val="2"/>
          </w:tcPr>
          <w:p w14:paraId="4734A8B4" w14:textId="75BDE19B" w:rsidR="002F4BCD" w:rsidRDefault="000D3992">
            <w:pPr>
              <w:rPr>
                <w:rFonts w:ascii="Arial" w:hAnsi="Arial" w:cs="Arial"/>
                <w:b/>
                <w:bCs/>
              </w:rPr>
            </w:pPr>
            <w:r w:rsidRPr="00F8074A">
              <w:rPr>
                <w:rFonts w:ascii="Arial" w:hAnsi="Arial" w:cs="Arial"/>
              </w:rPr>
              <w:t>Yes/No</w:t>
            </w:r>
          </w:p>
        </w:tc>
      </w:tr>
    </w:tbl>
    <w:p w14:paraId="4078A10A"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14:paraId="684CF5CE" w14:textId="77777777" w:rsidTr="00C74D8A">
        <w:tc>
          <w:tcPr>
            <w:tcW w:w="2254" w:type="dxa"/>
          </w:tcPr>
          <w:p w14:paraId="71B21C7F" w14:textId="34D01A5A" w:rsidR="00090142" w:rsidRDefault="00090142">
            <w:pPr>
              <w:rPr>
                <w:rFonts w:ascii="Arial" w:hAnsi="Arial" w:cs="Arial"/>
                <w:b/>
                <w:bCs/>
              </w:rPr>
            </w:pPr>
            <w:r>
              <w:rPr>
                <w:rFonts w:ascii="Arial" w:hAnsi="Arial" w:cs="Arial"/>
                <w:b/>
                <w:bCs/>
              </w:rPr>
              <w:t>Role Reference</w:t>
            </w:r>
          </w:p>
        </w:tc>
        <w:tc>
          <w:tcPr>
            <w:tcW w:w="2254" w:type="dxa"/>
          </w:tcPr>
          <w:p w14:paraId="58FC2F64" w14:textId="77777777" w:rsidR="00090142" w:rsidRDefault="00090142">
            <w:pPr>
              <w:rPr>
                <w:rFonts w:ascii="Arial" w:hAnsi="Arial" w:cs="Arial"/>
                <w:b/>
                <w:bCs/>
              </w:rPr>
            </w:pPr>
          </w:p>
        </w:tc>
        <w:tc>
          <w:tcPr>
            <w:tcW w:w="2254" w:type="dxa"/>
          </w:tcPr>
          <w:p w14:paraId="5DB307E3" w14:textId="62080A39" w:rsidR="00090142" w:rsidRDefault="00090142">
            <w:pPr>
              <w:rPr>
                <w:rFonts w:ascii="Arial" w:hAnsi="Arial" w:cs="Arial"/>
                <w:b/>
                <w:bCs/>
              </w:rPr>
            </w:pPr>
            <w:r>
              <w:rPr>
                <w:rFonts w:ascii="Arial" w:hAnsi="Arial" w:cs="Arial"/>
                <w:b/>
                <w:bCs/>
              </w:rPr>
              <w:t>Review Date</w:t>
            </w:r>
          </w:p>
        </w:tc>
        <w:tc>
          <w:tcPr>
            <w:tcW w:w="3581" w:type="dxa"/>
          </w:tcPr>
          <w:p w14:paraId="38427345" w14:textId="77777777" w:rsidR="00090142" w:rsidRDefault="00090142">
            <w:pPr>
              <w:rPr>
                <w:rFonts w:ascii="Arial" w:hAnsi="Arial" w:cs="Arial"/>
                <w:b/>
                <w:bCs/>
              </w:rPr>
            </w:pPr>
          </w:p>
        </w:tc>
      </w:tr>
    </w:tbl>
    <w:p w14:paraId="5EC53E9E" w14:textId="77777777" w:rsidR="00090142" w:rsidRDefault="00090142">
      <w:pPr>
        <w:rPr>
          <w:rFonts w:ascii="Arial" w:hAnsi="Arial" w:cs="Arial"/>
          <w:b/>
          <w:bCs/>
        </w:rPr>
      </w:pPr>
    </w:p>
    <w:p w14:paraId="33B09523" w14:textId="77777777" w:rsidR="004D50F4" w:rsidRPr="004D50F4" w:rsidRDefault="004D50F4" w:rsidP="00292CF4">
      <w:pPr>
        <w:spacing w:after="0" w:line="360" w:lineRule="auto"/>
        <w:rPr>
          <w:rFonts w:ascii="Arial" w:hAnsi="Arial" w:cs="Arial"/>
          <w:i/>
          <w:iCs/>
          <w:kern w:val="0"/>
          <w14:ligatures w14:val="none"/>
        </w:rPr>
      </w:pPr>
      <w:r w:rsidRPr="39EB736B">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090142" w:rsidRDefault="004D50F4">
      <w:pPr>
        <w:rPr>
          <w:rFonts w:ascii="Arial" w:hAnsi="Arial" w:cs="Arial"/>
          <w:b/>
          <w:bCs/>
        </w:rPr>
      </w:pPr>
    </w:p>
    <w:sectPr w:rsidR="004D50F4" w:rsidRPr="00090142" w:rsidSect="00365326">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418B" w14:textId="77777777" w:rsidR="00261368" w:rsidRDefault="00261368" w:rsidP="00FB743A">
      <w:pPr>
        <w:spacing w:after="0" w:line="240" w:lineRule="auto"/>
      </w:pPr>
      <w:r>
        <w:separator/>
      </w:r>
    </w:p>
  </w:endnote>
  <w:endnote w:type="continuationSeparator" w:id="0">
    <w:p w14:paraId="0A01AD57" w14:textId="77777777" w:rsidR="00261368" w:rsidRDefault="00261368" w:rsidP="00FB743A">
      <w:pPr>
        <w:spacing w:after="0" w:line="240" w:lineRule="auto"/>
      </w:pPr>
      <w:r>
        <w:continuationSeparator/>
      </w:r>
    </w:p>
  </w:endnote>
  <w:endnote w:type="continuationNotice" w:id="1">
    <w:p w14:paraId="6EAFCA40" w14:textId="77777777" w:rsidR="00261368" w:rsidRDefault="00261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FD10" w14:textId="77777777" w:rsidR="00261368" w:rsidRDefault="00261368" w:rsidP="00FB743A">
      <w:pPr>
        <w:spacing w:after="0" w:line="240" w:lineRule="auto"/>
      </w:pPr>
      <w:r>
        <w:separator/>
      </w:r>
    </w:p>
  </w:footnote>
  <w:footnote w:type="continuationSeparator" w:id="0">
    <w:p w14:paraId="3D88A5C6" w14:textId="77777777" w:rsidR="00261368" w:rsidRDefault="00261368" w:rsidP="00FB743A">
      <w:pPr>
        <w:spacing w:after="0" w:line="240" w:lineRule="auto"/>
      </w:pPr>
      <w:r>
        <w:continuationSeparator/>
      </w:r>
    </w:p>
  </w:footnote>
  <w:footnote w:type="continuationNotice" w:id="1">
    <w:p w14:paraId="13955659" w14:textId="77777777" w:rsidR="00261368" w:rsidRDefault="00261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424"/>
    <w:multiLevelType w:val="hybridMultilevel"/>
    <w:tmpl w:val="F29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F0CC3"/>
    <w:multiLevelType w:val="multilevel"/>
    <w:tmpl w:val="B15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345A5"/>
    <w:multiLevelType w:val="hybridMultilevel"/>
    <w:tmpl w:val="3448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A4125"/>
    <w:multiLevelType w:val="multilevel"/>
    <w:tmpl w:val="D68E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6743E"/>
    <w:multiLevelType w:val="hybridMultilevel"/>
    <w:tmpl w:val="F00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01F02"/>
    <w:multiLevelType w:val="hybridMultilevel"/>
    <w:tmpl w:val="AE1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A053E"/>
    <w:multiLevelType w:val="hybridMultilevel"/>
    <w:tmpl w:val="7090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23489"/>
    <w:multiLevelType w:val="hybridMultilevel"/>
    <w:tmpl w:val="5410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61F12"/>
    <w:multiLevelType w:val="hybridMultilevel"/>
    <w:tmpl w:val="3052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0958BE"/>
    <w:multiLevelType w:val="hybridMultilevel"/>
    <w:tmpl w:val="D8B2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41EFC"/>
    <w:multiLevelType w:val="hybridMultilevel"/>
    <w:tmpl w:val="B7B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31BD8"/>
    <w:multiLevelType w:val="multilevel"/>
    <w:tmpl w:val="BB5A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75AC6"/>
    <w:multiLevelType w:val="multilevel"/>
    <w:tmpl w:val="6624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B1C0D"/>
    <w:multiLevelType w:val="hybridMultilevel"/>
    <w:tmpl w:val="A35A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785157">
    <w:abstractNumId w:val="5"/>
  </w:num>
  <w:num w:numId="2" w16cid:durableId="1202786364">
    <w:abstractNumId w:val="0"/>
  </w:num>
  <w:num w:numId="3" w16cid:durableId="974138226">
    <w:abstractNumId w:val="10"/>
  </w:num>
  <w:num w:numId="4" w16cid:durableId="246621817">
    <w:abstractNumId w:val="3"/>
  </w:num>
  <w:num w:numId="5" w16cid:durableId="1613317209">
    <w:abstractNumId w:val="1"/>
  </w:num>
  <w:num w:numId="6" w16cid:durableId="326061201">
    <w:abstractNumId w:val="11"/>
  </w:num>
  <w:num w:numId="7" w16cid:durableId="151797861">
    <w:abstractNumId w:val="12"/>
  </w:num>
  <w:num w:numId="8" w16cid:durableId="830365776">
    <w:abstractNumId w:val="4"/>
  </w:num>
  <w:num w:numId="9" w16cid:durableId="1029143172">
    <w:abstractNumId w:val="13"/>
  </w:num>
  <w:num w:numId="10" w16cid:durableId="1870944329">
    <w:abstractNumId w:val="2"/>
  </w:num>
  <w:num w:numId="11" w16cid:durableId="340741689">
    <w:abstractNumId w:val="6"/>
  </w:num>
  <w:num w:numId="12" w16cid:durableId="739836481">
    <w:abstractNumId w:val="7"/>
  </w:num>
  <w:num w:numId="13" w16cid:durableId="652609291">
    <w:abstractNumId w:val="9"/>
  </w:num>
  <w:num w:numId="14" w16cid:durableId="1845825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22179"/>
    <w:rsid w:val="00023923"/>
    <w:rsid w:val="00044191"/>
    <w:rsid w:val="00055B42"/>
    <w:rsid w:val="0006010F"/>
    <w:rsid w:val="00070CBB"/>
    <w:rsid w:val="00082404"/>
    <w:rsid w:val="000850E6"/>
    <w:rsid w:val="0008535D"/>
    <w:rsid w:val="00090142"/>
    <w:rsid w:val="000A120B"/>
    <w:rsid w:val="000A49B5"/>
    <w:rsid w:val="000A5921"/>
    <w:rsid w:val="000D3992"/>
    <w:rsid w:val="000D5B6F"/>
    <w:rsid w:val="000D6B5F"/>
    <w:rsid w:val="000F0252"/>
    <w:rsid w:val="00104E81"/>
    <w:rsid w:val="0011350C"/>
    <w:rsid w:val="001340D0"/>
    <w:rsid w:val="00136E1B"/>
    <w:rsid w:val="00145A60"/>
    <w:rsid w:val="00145D39"/>
    <w:rsid w:val="00146FF7"/>
    <w:rsid w:val="001522F3"/>
    <w:rsid w:val="0015527B"/>
    <w:rsid w:val="00157C42"/>
    <w:rsid w:val="0016271F"/>
    <w:rsid w:val="0017316E"/>
    <w:rsid w:val="001816AD"/>
    <w:rsid w:val="001B31D0"/>
    <w:rsid w:val="001C2411"/>
    <w:rsid w:val="001E744A"/>
    <w:rsid w:val="001F3EDF"/>
    <w:rsid w:val="0020111E"/>
    <w:rsid w:val="00204A4A"/>
    <w:rsid w:val="00205A21"/>
    <w:rsid w:val="00206931"/>
    <w:rsid w:val="00207473"/>
    <w:rsid w:val="00215AE1"/>
    <w:rsid w:val="0023054C"/>
    <w:rsid w:val="0024560A"/>
    <w:rsid w:val="00254AE4"/>
    <w:rsid w:val="00257874"/>
    <w:rsid w:val="00261368"/>
    <w:rsid w:val="00282ED2"/>
    <w:rsid w:val="00292CF4"/>
    <w:rsid w:val="002A4164"/>
    <w:rsid w:val="002A5B4B"/>
    <w:rsid w:val="002B66C4"/>
    <w:rsid w:val="002B7D70"/>
    <w:rsid w:val="002C1D7F"/>
    <w:rsid w:val="002C6463"/>
    <w:rsid w:val="002E5D38"/>
    <w:rsid w:val="002F4791"/>
    <w:rsid w:val="002F4BCD"/>
    <w:rsid w:val="00301E55"/>
    <w:rsid w:val="00303BA0"/>
    <w:rsid w:val="00310426"/>
    <w:rsid w:val="00311BDE"/>
    <w:rsid w:val="00311ED7"/>
    <w:rsid w:val="00323B55"/>
    <w:rsid w:val="0032662D"/>
    <w:rsid w:val="00326A8F"/>
    <w:rsid w:val="00342FA3"/>
    <w:rsid w:val="0035638A"/>
    <w:rsid w:val="00357A6D"/>
    <w:rsid w:val="00360C38"/>
    <w:rsid w:val="00365326"/>
    <w:rsid w:val="00370363"/>
    <w:rsid w:val="00370B54"/>
    <w:rsid w:val="003725A3"/>
    <w:rsid w:val="0037359E"/>
    <w:rsid w:val="003746A8"/>
    <w:rsid w:val="00374E37"/>
    <w:rsid w:val="00381526"/>
    <w:rsid w:val="00391647"/>
    <w:rsid w:val="00397DF6"/>
    <w:rsid w:val="003A409F"/>
    <w:rsid w:val="003A5770"/>
    <w:rsid w:val="003B6E46"/>
    <w:rsid w:val="003C747D"/>
    <w:rsid w:val="003C78CF"/>
    <w:rsid w:val="003E14B8"/>
    <w:rsid w:val="003E34E7"/>
    <w:rsid w:val="003E6E56"/>
    <w:rsid w:val="00401A00"/>
    <w:rsid w:val="0040315A"/>
    <w:rsid w:val="00404B7B"/>
    <w:rsid w:val="00405F1F"/>
    <w:rsid w:val="0041204C"/>
    <w:rsid w:val="0041531B"/>
    <w:rsid w:val="004175F5"/>
    <w:rsid w:val="00420D79"/>
    <w:rsid w:val="00422E73"/>
    <w:rsid w:val="00431CA7"/>
    <w:rsid w:val="004408E4"/>
    <w:rsid w:val="00455B84"/>
    <w:rsid w:val="00457335"/>
    <w:rsid w:val="00490220"/>
    <w:rsid w:val="00491A14"/>
    <w:rsid w:val="004940C4"/>
    <w:rsid w:val="0049637A"/>
    <w:rsid w:val="004A1470"/>
    <w:rsid w:val="004A3265"/>
    <w:rsid w:val="004C7DB1"/>
    <w:rsid w:val="004D50F4"/>
    <w:rsid w:val="004E1DDA"/>
    <w:rsid w:val="004F7219"/>
    <w:rsid w:val="00504B75"/>
    <w:rsid w:val="005077ED"/>
    <w:rsid w:val="00507DD1"/>
    <w:rsid w:val="00512C9E"/>
    <w:rsid w:val="00546007"/>
    <w:rsid w:val="00553C36"/>
    <w:rsid w:val="00570AC8"/>
    <w:rsid w:val="00571190"/>
    <w:rsid w:val="00574689"/>
    <w:rsid w:val="005A1A77"/>
    <w:rsid w:val="005A1C53"/>
    <w:rsid w:val="005B688E"/>
    <w:rsid w:val="005C7AAF"/>
    <w:rsid w:val="005D34DE"/>
    <w:rsid w:val="005E0525"/>
    <w:rsid w:val="005E0E34"/>
    <w:rsid w:val="005E7367"/>
    <w:rsid w:val="00604C5C"/>
    <w:rsid w:val="006240E2"/>
    <w:rsid w:val="0064013B"/>
    <w:rsid w:val="00641CA8"/>
    <w:rsid w:val="00666E01"/>
    <w:rsid w:val="00686976"/>
    <w:rsid w:val="00691495"/>
    <w:rsid w:val="00695C29"/>
    <w:rsid w:val="006960CA"/>
    <w:rsid w:val="00697D11"/>
    <w:rsid w:val="006B248A"/>
    <w:rsid w:val="006B539E"/>
    <w:rsid w:val="006C23AE"/>
    <w:rsid w:val="006C7A6B"/>
    <w:rsid w:val="006D31FE"/>
    <w:rsid w:val="006F3CFA"/>
    <w:rsid w:val="00703591"/>
    <w:rsid w:val="007035FC"/>
    <w:rsid w:val="00714935"/>
    <w:rsid w:val="007168ED"/>
    <w:rsid w:val="00720D1A"/>
    <w:rsid w:val="00727ABA"/>
    <w:rsid w:val="007351A1"/>
    <w:rsid w:val="00746D3B"/>
    <w:rsid w:val="0075103C"/>
    <w:rsid w:val="00760BAB"/>
    <w:rsid w:val="00772EBA"/>
    <w:rsid w:val="00782082"/>
    <w:rsid w:val="00783213"/>
    <w:rsid w:val="00785743"/>
    <w:rsid w:val="007920D2"/>
    <w:rsid w:val="00793CD6"/>
    <w:rsid w:val="007A2B8B"/>
    <w:rsid w:val="007B74C2"/>
    <w:rsid w:val="007D6691"/>
    <w:rsid w:val="007E2266"/>
    <w:rsid w:val="007E5456"/>
    <w:rsid w:val="007F3886"/>
    <w:rsid w:val="007F4019"/>
    <w:rsid w:val="007F5058"/>
    <w:rsid w:val="007F7388"/>
    <w:rsid w:val="00803BDE"/>
    <w:rsid w:val="00804F20"/>
    <w:rsid w:val="008108BD"/>
    <w:rsid w:val="00816509"/>
    <w:rsid w:val="0082736D"/>
    <w:rsid w:val="0083069C"/>
    <w:rsid w:val="00837C0B"/>
    <w:rsid w:val="00837C7C"/>
    <w:rsid w:val="0084244B"/>
    <w:rsid w:val="00843C17"/>
    <w:rsid w:val="008447E1"/>
    <w:rsid w:val="00863DF6"/>
    <w:rsid w:val="008659D7"/>
    <w:rsid w:val="0089260E"/>
    <w:rsid w:val="008978ED"/>
    <w:rsid w:val="008A0675"/>
    <w:rsid w:val="008A54CA"/>
    <w:rsid w:val="008B5524"/>
    <w:rsid w:val="008B59E1"/>
    <w:rsid w:val="008D2F6D"/>
    <w:rsid w:val="008D51F3"/>
    <w:rsid w:val="008E288C"/>
    <w:rsid w:val="008F1496"/>
    <w:rsid w:val="008F3CC7"/>
    <w:rsid w:val="00901823"/>
    <w:rsid w:val="009037A1"/>
    <w:rsid w:val="00954395"/>
    <w:rsid w:val="00960D44"/>
    <w:rsid w:val="00962333"/>
    <w:rsid w:val="00964864"/>
    <w:rsid w:val="00965CA4"/>
    <w:rsid w:val="0096611E"/>
    <w:rsid w:val="00973208"/>
    <w:rsid w:val="00992438"/>
    <w:rsid w:val="00992DA2"/>
    <w:rsid w:val="009C0A2B"/>
    <w:rsid w:val="009E39DB"/>
    <w:rsid w:val="009F2BE1"/>
    <w:rsid w:val="009F6F5D"/>
    <w:rsid w:val="00A0341C"/>
    <w:rsid w:val="00A23A5F"/>
    <w:rsid w:val="00A56E18"/>
    <w:rsid w:val="00A86CFD"/>
    <w:rsid w:val="00AA407B"/>
    <w:rsid w:val="00AA51DC"/>
    <w:rsid w:val="00AB0570"/>
    <w:rsid w:val="00AB4FBA"/>
    <w:rsid w:val="00AB63D8"/>
    <w:rsid w:val="00AC13F4"/>
    <w:rsid w:val="00AC2590"/>
    <w:rsid w:val="00AC5F66"/>
    <w:rsid w:val="00AE21A0"/>
    <w:rsid w:val="00AF1368"/>
    <w:rsid w:val="00B0258C"/>
    <w:rsid w:val="00B0452F"/>
    <w:rsid w:val="00B1765F"/>
    <w:rsid w:val="00B30221"/>
    <w:rsid w:val="00B559C8"/>
    <w:rsid w:val="00B7477B"/>
    <w:rsid w:val="00B83A95"/>
    <w:rsid w:val="00B91472"/>
    <w:rsid w:val="00B94C24"/>
    <w:rsid w:val="00BA37E7"/>
    <w:rsid w:val="00BA3E4A"/>
    <w:rsid w:val="00BB654E"/>
    <w:rsid w:val="00BB781C"/>
    <w:rsid w:val="00BC3131"/>
    <w:rsid w:val="00BD02B0"/>
    <w:rsid w:val="00BD3182"/>
    <w:rsid w:val="00BD344C"/>
    <w:rsid w:val="00BE0E57"/>
    <w:rsid w:val="00C06454"/>
    <w:rsid w:val="00C25571"/>
    <w:rsid w:val="00C379B8"/>
    <w:rsid w:val="00C41A60"/>
    <w:rsid w:val="00C4240A"/>
    <w:rsid w:val="00C74D8A"/>
    <w:rsid w:val="00C77BAE"/>
    <w:rsid w:val="00CC1BF7"/>
    <w:rsid w:val="00CD0A46"/>
    <w:rsid w:val="00CE224F"/>
    <w:rsid w:val="00CE23C3"/>
    <w:rsid w:val="00CE2CA6"/>
    <w:rsid w:val="00CE6F29"/>
    <w:rsid w:val="00CF1566"/>
    <w:rsid w:val="00CF1817"/>
    <w:rsid w:val="00D01D42"/>
    <w:rsid w:val="00D11F90"/>
    <w:rsid w:val="00D120A4"/>
    <w:rsid w:val="00D1249B"/>
    <w:rsid w:val="00D32552"/>
    <w:rsid w:val="00D32B80"/>
    <w:rsid w:val="00D43C58"/>
    <w:rsid w:val="00D44F6E"/>
    <w:rsid w:val="00D45706"/>
    <w:rsid w:val="00D51F3C"/>
    <w:rsid w:val="00D559C3"/>
    <w:rsid w:val="00D631F5"/>
    <w:rsid w:val="00D804A3"/>
    <w:rsid w:val="00D92A0C"/>
    <w:rsid w:val="00DA099C"/>
    <w:rsid w:val="00DA4619"/>
    <w:rsid w:val="00DA6282"/>
    <w:rsid w:val="00DB2EF2"/>
    <w:rsid w:val="00DB691F"/>
    <w:rsid w:val="00DF343C"/>
    <w:rsid w:val="00DF5999"/>
    <w:rsid w:val="00E1104D"/>
    <w:rsid w:val="00E36841"/>
    <w:rsid w:val="00E446DD"/>
    <w:rsid w:val="00E46DCC"/>
    <w:rsid w:val="00E62725"/>
    <w:rsid w:val="00E74E6B"/>
    <w:rsid w:val="00E77708"/>
    <w:rsid w:val="00E777A2"/>
    <w:rsid w:val="00E842D9"/>
    <w:rsid w:val="00E96DDF"/>
    <w:rsid w:val="00EA1436"/>
    <w:rsid w:val="00EA2EA7"/>
    <w:rsid w:val="00EA3496"/>
    <w:rsid w:val="00EB7F7C"/>
    <w:rsid w:val="00EC06F7"/>
    <w:rsid w:val="00EC5E13"/>
    <w:rsid w:val="00EC7E40"/>
    <w:rsid w:val="00EE0E0A"/>
    <w:rsid w:val="00EF0CF1"/>
    <w:rsid w:val="00F14821"/>
    <w:rsid w:val="00F3119B"/>
    <w:rsid w:val="00F71E55"/>
    <w:rsid w:val="00F72725"/>
    <w:rsid w:val="00F727E6"/>
    <w:rsid w:val="00F8074A"/>
    <w:rsid w:val="00FA2118"/>
    <w:rsid w:val="00FA4CF2"/>
    <w:rsid w:val="00FB01E4"/>
    <w:rsid w:val="00FB4DB8"/>
    <w:rsid w:val="00FB743A"/>
    <w:rsid w:val="00FE204C"/>
    <w:rsid w:val="00FE3E34"/>
    <w:rsid w:val="00FE4604"/>
    <w:rsid w:val="00FF467C"/>
    <w:rsid w:val="00FF67EC"/>
    <w:rsid w:val="00FF69F0"/>
    <w:rsid w:val="09BDB9B9"/>
    <w:rsid w:val="0A215665"/>
    <w:rsid w:val="0DB0283A"/>
    <w:rsid w:val="10D8801A"/>
    <w:rsid w:val="119F270F"/>
    <w:rsid w:val="16C97F92"/>
    <w:rsid w:val="198360C5"/>
    <w:rsid w:val="199269C9"/>
    <w:rsid w:val="22689C54"/>
    <w:rsid w:val="2C2F6496"/>
    <w:rsid w:val="2CFABB03"/>
    <w:rsid w:val="3240C4E9"/>
    <w:rsid w:val="32DE1A89"/>
    <w:rsid w:val="39EB736B"/>
    <w:rsid w:val="3ABAFE32"/>
    <w:rsid w:val="3E743FED"/>
    <w:rsid w:val="43193466"/>
    <w:rsid w:val="460F1CA5"/>
    <w:rsid w:val="47101893"/>
    <w:rsid w:val="4997749F"/>
    <w:rsid w:val="4DF1C26E"/>
    <w:rsid w:val="53B578DC"/>
    <w:rsid w:val="5B48E4A1"/>
    <w:rsid w:val="6DB4DCC1"/>
    <w:rsid w:val="72E5ADBB"/>
    <w:rsid w:val="7CD4B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4589BDF7-2228-4292-8E1F-2F6C733C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A5B4B"/>
    <w:pPr>
      <w:spacing w:after="0" w:line="240" w:lineRule="auto"/>
    </w:pPr>
  </w:style>
  <w:style w:type="paragraph" w:styleId="BodyText">
    <w:name w:val="Body Text"/>
    <w:basedOn w:val="Normal"/>
    <w:link w:val="BodyTextChar"/>
    <w:uiPriority w:val="99"/>
    <w:semiHidden/>
    <w:unhideWhenUsed/>
    <w:rsid w:val="00BB781C"/>
    <w:pPr>
      <w:spacing w:after="120"/>
    </w:pPr>
    <w:rPr>
      <w:kern w:val="0"/>
      <w14:ligatures w14:val="none"/>
    </w:rPr>
  </w:style>
  <w:style w:type="character" w:customStyle="1" w:styleId="BodyTextChar">
    <w:name w:val="Body Text Char"/>
    <w:basedOn w:val="DefaultParagraphFont"/>
    <w:link w:val="BodyText"/>
    <w:uiPriority w:val="99"/>
    <w:semiHidden/>
    <w:rsid w:val="00BB781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72846">
      <w:bodyDiv w:val="1"/>
      <w:marLeft w:val="0"/>
      <w:marRight w:val="0"/>
      <w:marTop w:val="0"/>
      <w:marBottom w:val="0"/>
      <w:divBdr>
        <w:top w:val="none" w:sz="0" w:space="0" w:color="auto"/>
        <w:left w:val="none" w:sz="0" w:space="0" w:color="auto"/>
        <w:bottom w:val="none" w:sz="0" w:space="0" w:color="auto"/>
        <w:right w:val="none" w:sz="0" w:space="0" w:color="auto"/>
      </w:divBdr>
      <w:divsChild>
        <w:div w:id="1096365574">
          <w:marLeft w:val="0"/>
          <w:marRight w:val="0"/>
          <w:marTop w:val="0"/>
          <w:marBottom w:val="0"/>
          <w:divBdr>
            <w:top w:val="none" w:sz="0" w:space="0" w:color="auto"/>
            <w:left w:val="none" w:sz="0" w:space="0" w:color="auto"/>
            <w:bottom w:val="none" w:sz="0" w:space="0" w:color="auto"/>
            <w:right w:val="none" w:sz="0" w:space="0" w:color="auto"/>
          </w:divBdr>
          <w:divsChild>
            <w:div w:id="304630734">
              <w:marLeft w:val="0"/>
              <w:marRight w:val="0"/>
              <w:marTop w:val="0"/>
              <w:marBottom w:val="0"/>
              <w:divBdr>
                <w:top w:val="none" w:sz="0" w:space="0" w:color="auto"/>
                <w:left w:val="none" w:sz="0" w:space="0" w:color="auto"/>
                <w:bottom w:val="none" w:sz="0" w:space="0" w:color="auto"/>
                <w:right w:val="none" w:sz="0" w:space="0" w:color="auto"/>
              </w:divBdr>
              <w:divsChild>
                <w:div w:id="1184978940">
                  <w:marLeft w:val="0"/>
                  <w:marRight w:val="0"/>
                  <w:marTop w:val="0"/>
                  <w:marBottom w:val="0"/>
                  <w:divBdr>
                    <w:top w:val="none" w:sz="0" w:space="0" w:color="auto"/>
                    <w:left w:val="none" w:sz="0" w:space="0" w:color="auto"/>
                    <w:bottom w:val="none" w:sz="0" w:space="0" w:color="auto"/>
                    <w:right w:val="none" w:sz="0" w:space="0" w:color="auto"/>
                  </w:divBdr>
                  <w:divsChild>
                    <w:div w:id="1828397402">
                      <w:marLeft w:val="0"/>
                      <w:marRight w:val="0"/>
                      <w:marTop w:val="0"/>
                      <w:marBottom w:val="0"/>
                      <w:divBdr>
                        <w:top w:val="none" w:sz="0" w:space="0" w:color="auto"/>
                        <w:left w:val="none" w:sz="0" w:space="0" w:color="auto"/>
                        <w:bottom w:val="none" w:sz="0" w:space="0" w:color="auto"/>
                        <w:right w:val="none" w:sz="0" w:space="0" w:color="auto"/>
                      </w:divBdr>
                    </w:div>
                    <w:div w:id="21436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1384">
          <w:marLeft w:val="0"/>
          <w:marRight w:val="0"/>
          <w:marTop w:val="0"/>
          <w:marBottom w:val="0"/>
          <w:divBdr>
            <w:top w:val="none" w:sz="0" w:space="0" w:color="auto"/>
            <w:left w:val="none" w:sz="0" w:space="0" w:color="auto"/>
            <w:bottom w:val="none" w:sz="0" w:space="0" w:color="auto"/>
            <w:right w:val="none" w:sz="0" w:space="0" w:color="auto"/>
          </w:divBdr>
          <w:divsChild>
            <w:div w:id="1624261902">
              <w:marLeft w:val="0"/>
              <w:marRight w:val="0"/>
              <w:marTop w:val="0"/>
              <w:marBottom w:val="0"/>
              <w:divBdr>
                <w:top w:val="none" w:sz="0" w:space="0" w:color="auto"/>
                <w:left w:val="none" w:sz="0" w:space="0" w:color="auto"/>
                <w:bottom w:val="none" w:sz="0" w:space="0" w:color="auto"/>
                <w:right w:val="none" w:sz="0" w:space="0" w:color="auto"/>
              </w:divBdr>
              <w:divsChild>
                <w:div w:id="255528033">
                  <w:marLeft w:val="0"/>
                  <w:marRight w:val="0"/>
                  <w:marTop w:val="0"/>
                  <w:marBottom w:val="0"/>
                  <w:divBdr>
                    <w:top w:val="none" w:sz="0" w:space="0" w:color="auto"/>
                    <w:left w:val="none" w:sz="0" w:space="0" w:color="auto"/>
                    <w:bottom w:val="none" w:sz="0" w:space="0" w:color="auto"/>
                    <w:right w:val="none" w:sz="0" w:space="0" w:color="auto"/>
                  </w:divBdr>
                  <w:divsChild>
                    <w:div w:id="1072116224">
                      <w:marLeft w:val="0"/>
                      <w:marRight w:val="0"/>
                      <w:marTop w:val="0"/>
                      <w:marBottom w:val="0"/>
                      <w:divBdr>
                        <w:top w:val="none" w:sz="0" w:space="0" w:color="auto"/>
                        <w:left w:val="none" w:sz="0" w:space="0" w:color="auto"/>
                        <w:bottom w:val="none" w:sz="0" w:space="0" w:color="auto"/>
                        <w:right w:val="none" w:sz="0" w:space="0" w:color="auto"/>
                      </w:divBdr>
                    </w:div>
                    <w:div w:id="13490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5389">
          <w:marLeft w:val="0"/>
          <w:marRight w:val="0"/>
          <w:marTop w:val="0"/>
          <w:marBottom w:val="0"/>
          <w:divBdr>
            <w:top w:val="none" w:sz="0" w:space="0" w:color="auto"/>
            <w:left w:val="none" w:sz="0" w:space="0" w:color="auto"/>
            <w:bottom w:val="none" w:sz="0" w:space="0" w:color="auto"/>
            <w:right w:val="none" w:sz="0" w:space="0" w:color="auto"/>
          </w:divBdr>
          <w:divsChild>
            <w:div w:id="1193105964">
              <w:marLeft w:val="0"/>
              <w:marRight w:val="0"/>
              <w:marTop w:val="0"/>
              <w:marBottom w:val="0"/>
              <w:divBdr>
                <w:top w:val="none" w:sz="0" w:space="0" w:color="auto"/>
                <w:left w:val="none" w:sz="0" w:space="0" w:color="auto"/>
                <w:bottom w:val="none" w:sz="0" w:space="0" w:color="auto"/>
                <w:right w:val="none" w:sz="0" w:space="0" w:color="auto"/>
              </w:divBdr>
              <w:divsChild>
                <w:div w:id="1646203090">
                  <w:marLeft w:val="0"/>
                  <w:marRight w:val="0"/>
                  <w:marTop w:val="0"/>
                  <w:marBottom w:val="0"/>
                  <w:divBdr>
                    <w:top w:val="none" w:sz="0" w:space="0" w:color="auto"/>
                    <w:left w:val="none" w:sz="0" w:space="0" w:color="auto"/>
                    <w:bottom w:val="none" w:sz="0" w:space="0" w:color="auto"/>
                    <w:right w:val="none" w:sz="0" w:space="0" w:color="auto"/>
                  </w:divBdr>
                  <w:divsChild>
                    <w:div w:id="410393227">
                      <w:marLeft w:val="0"/>
                      <w:marRight w:val="0"/>
                      <w:marTop w:val="0"/>
                      <w:marBottom w:val="0"/>
                      <w:divBdr>
                        <w:top w:val="none" w:sz="0" w:space="0" w:color="auto"/>
                        <w:left w:val="none" w:sz="0" w:space="0" w:color="auto"/>
                        <w:bottom w:val="none" w:sz="0" w:space="0" w:color="auto"/>
                        <w:right w:val="none" w:sz="0" w:space="0" w:color="auto"/>
                      </w:divBdr>
                    </w:div>
                    <w:div w:id="15753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7317">
      <w:bodyDiv w:val="1"/>
      <w:marLeft w:val="0"/>
      <w:marRight w:val="0"/>
      <w:marTop w:val="0"/>
      <w:marBottom w:val="0"/>
      <w:divBdr>
        <w:top w:val="none" w:sz="0" w:space="0" w:color="auto"/>
        <w:left w:val="none" w:sz="0" w:space="0" w:color="auto"/>
        <w:bottom w:val="none" w:sz="0" w:space="0" w:color="auto"/>
        <w:right w:val="none" w:sz="0" w:space="0" w:color="auto"/>
      </w:divBdr>
    </w:div>
    <w:div w:id="761877292">
      <w:bodyDiv w:val="1"/>
      <w:marLeft w:val="0"/>
      <w:marRight w:val="0"/>
      <w:marTop w:val="0"/>
      <w:marBottom w:val="0"/>
      <w:divBdr>
        <w:top w:val="none" w:sz="0" w:space="0" w:color="auto"/>
        <w:left w:val="none" w:sz="0" w:space="0" w:color="auto"/>
        <w:bottom w:val="none" w:sz="0" w:space="0" w:color="auto"/>
        <w:right w:val="none" w:sz="0" w:space="0" w:color="auto"/>
      </w:divBdr>
    </w:div>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118726">
      <w:bodyDiv w:val="1"/>
      <w:marLeft w:val="0"/>
      <w:marRight w:val="0"/>
      <w:marTop w:val="0"/>
      <w:marBottom w:val="0"/>
      <w:divBdr>
        <w:top w:val="none" w:sz="0" w:space="0" w:color="auto"/>
        <w:left w:val="none" w:sz="0" w:space="0" w:color="auto"/>
        <w:bottom w:val="none" w:sz="0" w:space="0" w:color="auto"/>
        <w:right w:val="none" w:sz="0" w:space="0" w:color="auto"/>
      </w:divBdr>
    </w:div>
    <w:div w:id="2101489349">
      <w:bodyDiv w:val="1"/>
      <w:marLeft w:val="0"/>
      <w:marRight w:val="0"/>
      <w:marTop w:val="0"/>
      <w:marBottom w:val="0"/>
      <w:divBdr>
        <w:top w:val="none" w:sz="0" w:space="0" w:color="auto"/>
        <w:left w:val="none" w:sz="0" w:space="0" w:color="auto"/>
        <w:bottom w:val="none" w:sz="0" w:space="0" w:color="auto"/>
        <w:right w:val="none" w:sz="0" w:space="0" w:color="auto"/>
      </w:divBdr>
      <w:divsChild>
        <w:div w:id="331184333">
          <w:marLeft w:val="0"/>
          <w:marRight w:val="0"/>
          <w:marTop w:val="0"/>
          <w:marBottom w:val="0"/>
          <w:divBdr>
            <w:top w:val="none" w:sz="0" w:space="0" w:color="auto"/>
            <w:left w:val="none" w:sz="0" w:space="0" w:color="auto"/>
            <w:bottom w:val="none" w:sz="0" w:space="0" w:color="auto"/>
            <w:right w:val="none" w:sz="0" w:space="0" w:color="auto"/>
          </w:divBdr>
          <w:divsChild>
            <w:div w:id="134953184">
              <w:marLeft w:val="0"/>
              <w:marRight w:val="0"/>
              <w:marTop w:val="0"/>
              <w:marBottom w:val="0"/>
              <w:divBdr>
                <w:top w:val="none" w:sz="0" w:space="0" w:color="auto"/>
                <w:left w:val="none" w:sz="0" w:space="0" w:color="auto"/>
                <w:bottom w:val="none" w:sz="0" w:space="0" w:color="auto"/>
                <w:right w:val="none" w:sz="0" w:space="0" w:color="auto"/>
              </w:divBdr>
              <w:divsChild>
                <w:div w:id="640768547">
                  <w:marLeft w:val="0"/>
                  <w:marRight w:val="0"/>
                  <w:marTop w:val="0"/>
                  <w:marBottom w:val="0"/>
                  <w:divBdr>
                    <w:top w:val="none" w:sz="0" w:space="0" w:color="auto"/>
                    <w:left w:val="none" w:sz="0" w:space="0" w:color="auto"/>
                    <w:bottom w:val="none" w:sz="0" w:space="0" w:color="auto"/>
                    <w:right w:val="none" w:sz="0" w:space="0" w:color="auto"/>
                  </w:divBdr>
                  <w:divsChild>
                    <w:div w:id="728264894">
                      <w:marLeft w:val="0"/>
                      <w:marRight w:val="0"/>
                      <w:marTop w:val="0"/>
                      <w:marBottom w:val="0"/>
                      <w:divBdr>
                        <w:top w:val="none" w:sz="0" w:space="0" w:color="auto"/>
                        <w:left w:val="none" w:sz="0" w:space="0" w:color="auto"/>
                        <w:bottom w:val="none" w:sz="0" w:space="0" w:color="auto"/>
                        <w:right w:val="none" w:sz="0" w:space="0" w:color="auto"/>
                      </w:divBdr>
                    </w:div>
                    <w:div w:id="16792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8689">
          <w:marLeft w:val="0"/>
          <w:marRight w:val="0"/>
          <w:marTop w:val="0"/>
          <w:marBottom w:val="0"/>
          <w:divBdr>
            <w:top w:val="none" w:sz="0" w:space="0" w:color="auto"/>
            <w:left w:val="none" w:sz="0" w:space="0" w:color="auto"/>
            <w:bottom w:val="none" w:sz="0" w:space="0" w:color="auto"/>
            <w:right w:val="none" w:sz="0" w:space="0" w:color="auto"/>
          </w:divBdr>
          <w:divsChild>
            <w:div w:id="1793982495">
              <w:marLeft w:val="0"/>
              <w:marRight w:val="0"/>
              <w:marTop w:val="0"/>
              <w:marBottom w:val="0"/>
              <w:divBdr>
                <w:top w:val="none" w:sz="0" w:space="0" w:color="auto"/>
                <w:left w:val="none" w:sz="0" w:space="0" w:color="auto"/>
                <w:bottom w:val="none" w:sz="0" w:space="0" w:color="auto"/>
                <w:right w:val="none" w:sz="0" w:space="0" w:color="auto"/>
              </w:divBdr>
              <w:divsChild>
                <w:div w:id="1206261537">
                  <w:marLeft w:val="0"/>
                  <w:marRight w:val="0"/>
                  <w:marTop w:val="0"/>
                  <w:marBottom w:val="0"/>
                  <w:divBdr>
                    <w:top w:val="none" w:sz="0" w:space="0" w:color="auto"/>
                    <w:left w:val="none" w:sz="0" w:space="0" w:color="auto"/>
                    <w:bottom w:val="none" w:sz="0" w:space="0" w:color="auto"/>
                    <w:right w:val="none" w:sz="0" w:space="0" w:color="auto"/>
                  </w:divBdr>
                  <w:divsChild>
                    <w:div w:id="394083244">
                      <w:marLeft w:val="0"/>
                      <w:marRight w:val="0"/>
                      <w:marTop w:val="0"/>
                      <w:marBottom w:val="0"/>
                      <w:divBdr>
                        <w:top w:val="none" w:sz="0" w:space="0" w:color="auto"/>
                        <w:left w:val="none" w:sz="0" w:space="0" w:color="auto"/>
                        <w:bottom w:val="none" w:sz="0" w:space="0" w:color="auto"/>
                        <w:right w:val="none" w:sz="0" w:space="0" w:color="auto"/>
                      </w:divBdr>
                    </w:div>
                    <w:div w:id="9375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26115">
          <w:marLeft w:val="0"/>
          <w:marRight w:val="0"/>
          <w:marTop w:val="0"/>
          <w:marBottom w:val="0"/>
          <w:divBdr>
            <w:top w:val="none" w:sz="0" w:space="0" w:color="auto"/>
            <w:left w:val="none" w:sz="0" w:space="0" w:color="auto"/>
            <w:bottom w:val="none" w:sz="0" w:space="0" w:color="auto"/>
            <w:right w:val="none" w:sz="0" w:space="0" w:color="auto"/>
          </w:divBdr>
          <w:divsChild>
            <w:div w:id="315035417">
              <w:marLeft w:val="0"/>
              <w:marRight w:val="0"/>
              <w:marTop w:val="0"/>
              <w:marBottom w:val="0"/>
              <w:divBdr>
                <w:top w:val="none" w:sz="0" w:space="0" w:color="auto"/>
                <w:left w:val="none" w:sz="0" w:space="0" w:color="auto"/>
                <w:bottom w:val="none" w:sz="0" w:space="0" w:color="auto"/>
                <w:right w:val="none" w:sz="0" w:space="0" w:color="auto"/>
              </w:divBdr>
              <w:divsChild>
                <w:div w:id="102312430">
                  <w:marLeft w:val="0"/>
                  <w:marRight w:val="0"/>
                  <w:marTop w:val="0"/>
                  <w:marBottom w:val="0"/>
                  <w:divBdr>
                    <w:top w:val="none" w:sz="0" w:space="0" w:color="auto"/>
                    <w:left w:val="none" w:sz="0" w:space="0" w:color="auto"/>
                    <w:bottom w:val="none" w:sz="0" w:space="0" w:color="auto"/>
                    <w:right w:val="none" w:sz="0" w:space="0" w:color="auto"/>
                  </w:divBdr>
                  <w:divsChild>
                    <w:div w:id="18313658">
                      <w:marLeft w:val="0"/>
                      <w:marRight w:val="0"/>
                      <w:marTop w:val="0"/>
                      <w:marBottom w:val="0"/>
                      <w:divBdr>
                        <w:top w:val="none" w:sz="0" w:space="0" w:color="auto"/>
                        <w:left w:val="none" w:sz="0" w:space="0" w:color="auto"/>
                        <w:bottom w:val="none" w:sz="0" w:space="0" w:color="auto"/>
                        <w:right w:val="none" w:sz="0" w:space="0" w:color="auto"/>
                      </w:divBdr>
                    </w:div>
                    <w:div w:id="7986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tishredcross.interactgo.com/Interact/Pages/Content/Document.aspx?id=11420&amp;SearchId=640304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tishredcross.interactgo.com/Interact/Pages/Content/Document.aspx?id=10802&amp;SearchId=640303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ritishredcross.interactgo.com/page/LeadershipFramework?SearchId=64029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68A17BB67864DB4CAC8BCDB024522" ma:contentTypeVersion="13" ma:contentTypeDescription="Create a new document." ma:contentTypeScope="" ma:versionID="94db7dd8aa2ff6543266018fe42293eb">
  <xsd:schema xmlns:xsd="http://www.w3.org/2001/XMLSchema" xmlns:xs="http://www.w3.org/2001/XMLSchema" xmlns:p="http://schemas.microsoft.com/office/2006/metadata/properties" xmlns:ns2="b021e17e-de5b-4d8f-bc96-c6d70763b8b9" xmlns:ns3="faa95ad7-d0c0-46e7-a896-e03ab3159cbc" targetNamespace="http://schemas.microsoft.com/office/2006/metadata/properties" ma:root="true" ma:fieldsID="27623843b983433243156ee087a6b897" ns2:_="" ns3:_="">
    <xsd:import namespace="b021e17e-de5b-4d8f-bc96-c6d70763b8b9"/>
    <xsd:import namespace="faa95ad7-d0c0-46e7-a896-e03ab3159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1e17e-de5b-4d8f-bc96-c6d70763b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95ad7-d0c0-46e7-a896-e03ab3159c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3ae160-ea1d-4f4c-85c6-2cd912ee7900}" ma:internalName="TaxCatchAll" ma:showField="CatchAllData" ma:web="faa95ad7-d0c0-46e7-a896-e03ab3159c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21e17e-de5b-4d8f-bc96-c6d70763b8b9">
      <Terms xmlns="http://schemas.microsoft.com/office/infopath/2007/PartnerControls"/>
    </lcf76f155ced4ddcb4097134ff3c332f>
    <TaxCatchAll xmlns="faa95ad7-d0c0-46e7-a896-e03ab3159cbc" xsi:nil="true"/>
    <SharedWithUsers xmlns="faa95ad7-d0c0-46e7-a896-e03ab3159cbc">
      <UserInfo>
        <DisplayName>Louise Storey</DisplayName>
        <AccountId>114</AccountId>
        <AccountType/>
      </UserInfo>
      <UserInfo>
        <DisplayName>Sophie Parsell</DisplayName>
        <AccountId>52</AccountId>
        <AccountType/>
      </UserInfo>
      <UserInfo>
        <DisplayName>Linda Beadie</DisplayName>
        <AccountId>34</AccountId>
        <AccountType/>
      </UserInfo>
      <UserInfo>
        <DisplayName>Addeel Khan</DisplayName>
        <AccountId>28</AccountId>
        <AccountType/>
      </UserInfo>
      <UserInfo>
        <DisplayName>Laura Roxburgh</DisplayName>
        <AccountId>40</AccountId>
        <AccountType/>
      </UserInfo>
      <UserInfo>
        <DisplayName>Zainab Elfaki</DisplayName>
        <AccountId>44</AccountId>
        <AccountType/>
      </UserInfo>
      <UserInfo>
        <DisplayName>Ross Pitbladdo</DisplayName>
        <AccountId>16</AccountId>
        <AccountType/>
      </UserInfo>
      <UserInfo>
        <DisplayName>Paul Remic</DisplayName>
        <AccountId>13</AccountId>
        <AccountType/>
      </UserInfo>
      <UserInfo>
        <DisplayName>Tamsin Sainsbury-Hyde</DisplayName>
        <AccountId>120</AccountId>
        <AccountType/>
      </UserInfo>
      <UserInfo>
        <DisplayName>Chris Davies</DisplayName>
        <AccountId>51</AccountId>
        <AccountType/>
      </UserInfo>
      <UserInfo>
        <DisplayName>Liz Purbrick</DisplayName>
        <AccountId>37</AccountId>
        <AccountType/>
      </UserInfo>
      <UserInfo>
        <DisplayName>Natasha Coombes-liddle</DisplayName>
        <AccountId>14</AccountId>
        <AccountType/>
      </UserInfo>
      <UserInfo>
        <DisplayName>Sarah Jessett</DisplayName>
        <AccountId>46</AccountId>
        <AccountType/>
      </UserInfo>
      <UserInfo>
        <DisplayName>Sarah Killian</DisplayName>
        <AccountId>48</AccountId>
        <AccountType/>
      </UserInfo>
      <UserInfo>
        <DisplayName>Rebecca Best</DisplayName>
        <AccountId>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01487-5EA8-498D-BD6C-F0AE1CCA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1e17e-de5b-4d8f-bc96-c6d70763b8b9"/>
    <ds:schemaRef ds:uri="faa95ad7-d0c0-46e7-a896-e03ab3159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11B4B-66C6-475E-BC9F-11923DE69334}">
  <ds:schemaRefs>
    <ds:schemaRef ds:uri="http://schemas.microsoft.com/office/2006/metadata/properties"/>
    <ds:schemaRef ds:uri="http://schemas.microsoft.com/office/infopath/2007/PartnerControls"/>
    <ds:schemaRef ds:uri="b021e17e-de5b-4d8f-bc96-c6d70763b8b9"/>
    <ds:schemaRef ds:uri="faa95ad7-d0c0-46e7-a896-e03ab3159cbc"/>
  </ds:schemaRefs>
</ds:datastoreItem>
</file>

<file path=customXml/itemProps3.xml><?xml version="1.0" encoding="utf-8"?>
<ds:datastoreItem xmlns:ds="http://schemas.openxmlformats.org/officeDocument/2006/customXml" ds:itemID="{E685934A-AE0A-49F1-B127-11CC8DF9B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1231</Words>
  <Characters>7537</Characters>
  <Application>Microsoft Office Word</Application>
  <DocSecurity>0</DocSecurity>
  <Lines>251</Lines>
  <Paragraphs>121</Paragraphs>
  <ScaleCrop>false</ScaleCrop>
  <Company/>
  <LinksUpToDate>false</LinksUpToDate>
  <CharactersWithSpaces>8647</CharactersWithSpaces>
  <SharedDoc>false</SharedDoc>
  <HLinks>
    <vt:vector size="24" baseType="variant">
      <vt:variant>
        <vt:i4>1179726</vt:i4>
      </vt:variant>
      <vt:variant>
        <vt:i4>9</vt:i4>
      </vt:variant>
      <vt:variant>
        <vt:i4>0</vt:i4>
      </vt:variant>
      <vt:variant>
        <vt:i4>5</vt:i4>
      </vt:variant>
      <vt:variant>
        <vt:lpwstr>https://britishredcross.interactgo.com/Interact/Pages/Content/Document.aspx?id=11420&amp;SearchId=6403049</vt:lpwstr>
      </vt:variant>
      <vt:variant>
        <vt:lpwstr/>
      </vt:variant>
      <vt:variant>
        <vt:i4>1769549</vt:i4>
      </vt:variant>
      <vt:variant>
        <vt:i4>6</vt:i4>
      </vt:variant>
      <vt:variant>
        <vt:i4>0</vt:i4>
      </vt:variant>
      <vt:variant>
        <vt:i4>5</vt:i4>
      </vt:variant>
      <vt:variant>
        <vt:lpwstr>https://britishredcross.interactgo.com/Interact/Pages/Content/Document.aspx?id=10802&amp;SearchId=6403031</vt:lpwstr>
      </vt:variant>
      <vt:variant>
        <vt:lpwstr/>
      </vt:variant>
      <vt:variant>
        <vt:i4>4522078</vt:i4>
      </vt:variant>
      <vt:variant>
        <vt:i4>3</vt:i4>
      </vt:variant>
      <vt:variant>
        <vt:i4>0</vt:i4>
      </vt:variant>
      <vt:variant>
        <vt:i4>5</vt:i4>
      </vt:variant>
      <vt:variant>
        <vt:lpwstr>https://britishredcross.interactgo.com/page/LeadershipFramework?SearchId=6402985</vt:lpwstr>
      </vt:variant>
      <vt:variant>
        <vt:lpwstr/>
      </vt:variant>
      <vt:variant>
        <vt:i4>4522078</vt:i4>
      </vt:variant>
      <vt:variant>
        <vt:i4>0</vt:i4>
      </vt:variant>
      <vt:variant>
        <vt:i4>0</vt:i4>
      </vt:variant>
      <vt:variant>
        <vt:i4>5</vt:i4>
      </vt:variant>
      <vt:variant>
        <vt:lpwstr>https://britishredcross.interactgo.com/page/LeadershipFramework?SearchId=6402985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Tara Tibbitts</cp:lastModifiedBy>
  <cp:revision>14</cp:revision>
  <dcterms:created xsi:type="dcterms:W3CDTF">2026-03-05T10:41:00Z</dcterms:created>
  <dcterms:modified xsi:type="dcterms:W3CDTF">2026-03-05T10:49:00Z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0x0101003C568A17BB67864DB4CAC8BCDB024522</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